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260" w:rsidRDefault="00913282" w:rsidP="00135260">
      <w:pPr>
        <w:tabs>
          <w:tab w:val="left" w:pos="567"/>
          <w:tab w:val="left" w:pos="1134"/>
          <w:tab w:val="left" w:pos="1701"/>
        </w:tabs>
        <w:spacing w:before="20" w:after="20"/>
        <w:ind w:left="567" w:hanging="567"/>
        <w:rPr>
          <w:rFonts w:ascii="Arial" w:hAnsi="Arial" w:cs="Arial"/>
          <w:b/>
        </w:rPr>
      </w:pPr>
      <w:r w:rsidRPr="0091328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9pt;margin-top:-18pt;width:86.25pt;height:107.25pt;z-index:-251658752" o:allowoverlap="f">
            <v:imagedata r:id="rId7" o:title=""/>
          </v:shape>
          <o:OLEObject Type="Embed" ProgID="MSPhotoEd.3" ShapeID="_x0000_s1026" DrawAspect="Content" ObjectID="_1361792227" r:id="rId8"/>
        </w:pict>
      </w:r>
      <w:r w:rsidR="00135260">
        <w:rPr>
          <w:rFonts w:ascii="Arial" w:hAnsi="Arial" w:cs="Arial"/>
          <w:b/>
        </w:rPr>
        <w:t>UNIVERSITEIT VAN DIE VRYSTAAT</w:t>
      </w:r>
    </w:p>
    <w:p w:rsidR="00135260" w:rsidRDefault="00135260" w:rsidP="00135260">
      <w:pPr>
        <w:tabs>
          <w:tab w:val="left" w:pos="567"/>
          <w:tab w:val="left" w:pos="1134"/>
          <w:tab w:val="left" w:pos="1701"/>
        </w:tabs>
        <w:spacing w:before="20" w:after="20"/>
        <w:ind w:left="567" w:hanging="567"/>
        <w:rPr>
          <w:rFonts w:ascii="Arial" w:hAnsi="Arial" w:cs="Arial"/>
          <w:b/>
        </w:rPr>
      </w:pPr>
      <w:r>
        <w:rPr>
          <w:rFonts w:ascii="Arial" w:hAnsi="Arial" w:cs="Arial"/>
          <w:b/>
        </w:rPr>
        <w:t>FAKULTEIT REGSGELEERDHEID</w:t>
      </w:r>
    </w:p>
    <w:p w:rsidR="00135260" w:rsidRDefault="00135260" w:rsidP="00135260">
      <w:pPr>
        <w:tabs>
          <w:tab w:val="left" w:pos="567"/>
          <w:tab w:val="left" w:pos="1134"/>
          <w:tab w:val="left" w:pos="1701"/>
        </w:tabs>
        <w:spacing w:before="20" w:after="20"/>
        <w:ind w:left="567" w:hanging="567"/>
        <w:rPr>
          <w:rFonts w:ascii="Arial" w:hAnsi="Arial" w:cs="Arial"/>
          <w:b/>
        </w:rPr>
      </w:pPr>
      <w:r>
        <w:rPr>
          <w:rFonts w:ascii="Arial" w:hAnsi="Arial" w:cs="Arial"/>
          <w:b/>
        </w:rPr>
        <w:t>UNIVERSITY OF THE FREE STATE</w:t>
      </w:r>
    </w:p>
    <w:p w:rsidR="00135260" w:rsidRDefault="00135260" w:rsidP="00135260">
      <w:pPr>
        <w:tabs>
          <w:tab w:val="left" w:pos="567"/>
          <w:tab w:val="left" w:pos="1134"/>
          <w:tab w:val="left" w:pos="1701"/>
        </w:tabs>
        <w:spacing w:before="20" w:after="20"/>
        <w:ind w:left="567" w:hanging="567"/>
        <w:rPr>
          <w:rFonts w:ascii="Arial" w:hAnsi="Arial" w:cs="Arial"/>
          <w:b/>
        </w:rPr>
      </w:pPr>
      <w:r>
        <w:rPr>
          <w:rFonts w:ascii="Arial" w:hAnsi="Arial" w:cs="Arial"/>
          <w:b/>
        </w:rPr>
        <w:t>FACULTY OF LAW</w:t>
      </w:r>
    </w:p>
    <w:p w:rsidR="00135260" w:rsidRDefault="00135260" w:rsidP="00135260">
      <w:pPr>
        <w:tabs>
          <w:tab w:val="left" w:pos="567"/>
          <w:tab w:val="left" w:pos="1134"/>
          <w:tab w:val="left" w:pos="1701"/>
        </w:tabs>
        <w:spacing w:before="20" w:after="20"/>
        <w:ind w:left="567" w:hanging="567"/>
        <w:rPr>
          <w:rFonts w:ascii="Arial" w:hAnsi="Arial" w:cs="Arial"/>
          <w:b/>
        </w:rPr>
      </w:pPr>
    </w:p>
    <w:p w:rsidR="00135260" w:rsidRPr="00676C02" w:rsidRDefault="00135260" w:rsidP="00135260">
      <w:pPr>
        <w:tabs>
          <w:tab w:val="left" w:pos="567"/>
          <w:tab w:val="left" w:pos="1134"/>
          <w:tab w:val="left" w:pos="1701"/>
        </w:tabs>
        <w:spacing w:before="20" w:after="20"/>
        <w:ind w:left="567" w:hanging="567"/>
        <w:jc w:val="center"/>
        <w:rPr>
          <w:rFonts w:ascii="Arial" w:hAnsi="Arial" w:cs="Arial"/>
          <w:b/>
          <w:sz w:val="28"/>
          <w:szCs w:val="28"/>
        </w:rPr>
      </w:pPr>
      <w:r w:rsidRPr="00676C02">
        <w:rPr>
          <w:rFonts w:ascii="Arial" w:hAnsi="Arial" w:cs="Arial"/>
          <w:b/>
          <w:sz w:val="28"/>
          <w:szCs w:val="28"/>
        </w:rPr>
        <w:t xml:space="preserve">RESEARCH PROPOSAL </w:t>
      </w:r>
    </w:p>
    <w:p w:rsidR="00135260" w:rsidRPr="001A2AA3" w:rsidRDefault="00135260" w:rsidP="00135260">
      <w:pPr>
        <w:tabs>
          <w:tab w:val="left" w:pos="180"/>
          <w:tab w:val="left" w:pos="1134"/>
          <w:tab w:val="left" w:pos="1701"/>
        </w:tabs>
        <w:spacing w:before="20" w:after="20"/>
        <w:ind w:left="180" w:hanging="180"/>
        <w:jc w:val="both"/>
        <w:rPr>
          <w:rFonts w:ascii="Arial" w:hAnsi="Arial" w:cs="Arial"/>
          <w:i/>
          <w:sz w:val="12"/>
          <w:szCs w:val="12"/>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48"/>
        <w:gridCol w:w="360"/>
        <w:gridCol w:w="1980"/>
        <w:gridCol w:w="360"/>
        <w:gridCol w:w="3420"/>
        <w:gridCol w:w="360"/>
        <w:gridCol w:w="1080"/>
        <w:gridCol w:w="360"/>
      </w:tblGrid>
      <w:tr w:rsidR="00135260" w:rsidRPr="0073318B" w:rsidTr="00E52D5C">
        <w:tc>
          <w:tcPr>
            <w:tcW w:w="1548" w:type="dxa"/>
          </w:tcPr>
          <w:p w:rsidR="00135260" w:rsidRPr="0073318B" w:rsidRDefault="00135260" w:rsidP="00E52D5C">
            <w:pPr>
              <w:spacing w:before="60" w:after="0" w:line="240" w:lineRule="auto"/>
              <w:ind w:right="-108"/>
              <w:rPr>
                <w:rFonts w:ascii="Arial" w:hAnsi="Arial" w:cs="Arial"/>
                <w:sz w:val="20"/>
                <w:szCs w:val="20"/>
              </w:rPr>
            </w:pPr>
            <w:r w:rsidRPr="0073318B">
              <w:rPr>
                <w:rFonts w:ascii="Arial" w:hAnsi="Arial" w:cs="Arial"/>
                <w:sz w:val="20"/>
                <w:szCs w:val="20"/>
              </w:rPr>
              <w:t>LL.D-Proefskrif</w:t>
            </w:r>
          </w:p>
          <w:p w:rsidR="00135260" w:rsidRPr="0073318B" w:rsidRDefault="00135260" w:rsidP="00E52D5C">
            <w:pPr>
              <w:spacing w:before="60" w:after="0" w:line="240" w:lineRule="auto"/>
              <w:rPr>
                <w:rFonts w:ascii="Arial" w:hAnsi="Arial" w:cs="Arial"/>
                <w:sz w:val="20"/>
                <w:szCs w:val="20"/>
              </w:rPr>
            </w:pPr>
            <w:r w:rsidRPr="0073318B">
              <w:rPr>
                <w:rFonts w:ascii="Arial" w:hAnsi="Arial" w:cs="Arial"/>
                <w:sz w:val="20"/>
                <w:szCs w:val="20"/>
              </w:rPr>
              <w:t>LL.D. Thesis</w:t>
            </w:r>
          </w:p>
        </w:tc>
        <w:tc>
          <w:tcPr>
            <w:tcW w:w="360" w:type="dxa"/>
          </w:tcPr>
          <w:p w:rsidR="00135260" w:rsidRPr="0073318B" w:rsidRDefault="00135260" w:rsidP="00E52D5C">
            <w:pPr>
              <w:spacing w:before="60" w:after="0" w:line="240" w:lineRule="auto"/>
              <w:jc w:val="center"/>
              <w:rPr>
                <w:rFonts w:ascii="Arial" w:hAnsi="Arial" w:cs="Arial"/>
                <w:b/>
                <w:sz w:val="32"/>
                <w:szCs w:val="32"/>
              </w:rPr>
            </w:pPr>
          </w:p>
        </w:tc>
        <w:tc>
          <w:tcPr>
            <w:tcW w:w="1980" w:type="dxa"/>
          </w:tcPr>
          <w:p w:rsidR="00135260" w:rsidRPr="0073318B" w:rsidRDefault="00135260" w:rsidP="00E52D5C">
            <w:pPr>
              <w:spacing w:before="60" w:after="0" w:line="240" w:lineRule="auto"/>
              <w:ind w:right="-108"/>
              <w:rPr>
                <w:rFonts w:ascii="Arial" w:hAnsi="Arial" w:cs="Arial"/>
                <w:sz w:val="20"/>
                <w:szCs w:val="20"/>
              </w:rPr>
            </w:pPr>
            <w:r w:rsidRPr="0073318B">
              <w:rPr>
                <w:rFonts w:ascii="Arial" w:hAnsi="Arial" w:cs="Arial"/>
                <w:sz w:val="20"/>
                <w:szCs w:val="20"/>
              </w:rPr>
              <w:t>LL.M.-Verhandeling</w:t>
            </w:r>
          </w:p>
          <w:p w:rsidR="00135260" w:rsidRPr="0073318B" w:rsidRDefault="00135260" w:rsidP="00E52D5C">
            <w:pPr>
              <w:spacing w:before="60" w:after="0" w:line="240" w:lineRule="auto"/>
              <w:rPr>
                <w:rFonts w:ascii="Arial" w:hAnsi="Arial" w:cs="Arial"/>
                <w:sz w:val="20"/>
                <w:szCs w:val="20"/>
              </w:rPr>
            </w:pPr>
            <w:r w:rsidRPr="0073318B">
              <w:rPr>
                <w:rFonts w:ascii="Arial" w:hAnsi="Arial" w:cs="Arial"/>
                <w:sz w:val="20"/>
                <w:szCs w:val="20"/>
              </w:rPr>
              <w:t>LL.M. Dissertation</w:t>
            </w:r>
          </w:p>
        </w:tc>
        <w:tc>
          <w:tcPr>
            <w:tcW w:w="360" w:type="dxa"/>
          </w:tcPr>
          <w:p w:rsidR="00135260" w:rsidRPr="0073318B" w:rsidRDefault="00135260" w:rsidP="00E52D5C">
            <w:pPr>
              <w:spacing w:before="60" w:after="0" w:line="240" w:lineRule="auto"/>
              <w:jc w:val="center"/>
              <w:rPr>
                <w:rFonts w:ascii="Arial" w:hAnsi="Arial" w:cs="Arial"/>
                <w:b/>
                <w:sz w:val="32"/>
                <w:szCs w:val="32"/>
              </w:rPr>
            </w:pPr>
            <w:r>
              <w:rPr>
                <w:rFonts w:ascii="Arial" w:hAnsi="Arial" w:cs="Arial"/>
                <w:b/>
                <w:sz w:val="32"/>
                <w:szCs w:val="32"/>
              </w:rPr>
              <w:t>*</w:t>
            </w:r>
          </w:p>
        </w:tc>
        <w:tc>
          <w:tcPr>
            <w:tcW w:w="3420" w:type="dxa"/>
          </w:tcPr>
          <w:p w:rsidR="00135260" w:rsidRPr="0073318B" w:rsidRDefault="00135260" w:rsidP="00E52D5C">
            <w:pPr>
              <w:spacing w:before="60" w:after="0" w:line="240" w:lineRule="auto"/>
              <w:ind w:right="-108"/>
              <w:rPr>
                <w:rFonts w:ascii="Arial" w:hAnsi="Arial" w:cs="Arial"/>
                <w:sz w:val="20"/>
                <w:szCs w:val="20"/>
              </w:rPr>
            </w:pPr>
            <w:r w:rsidRPr="0073318B">
              <w:rPr>
                <w:rFonts w:ascii="Arial" w:hAnsi="Arial" w:cs="Arial"/>
                <w:sz w:val="20"/>
                <w:szCs w:val="20"/>
              </w:rPr>
              <w:t xml:space="preserve">LL.M. </w:t>
            </w:r>
            <w:r>
              <w:rPr>
                <w:rFonts w:ascii="Arial" w:hAnsi="Arial" w:cs="Arial"/>
                <w:sz w:val="20"/>
                <w:szCs w:val="20"/>
              </w:rPr>
              <w:t>Uitgebreide navorsingskripsie</w:t>
            </w:r>
          </w:p>
          <w:p w:rsidR="00135260" w:rsidRPr="0073318B" w:rsidRDefault="00135260" w:rsidP="00E52D5C">
            <w:pPr>
              <w:spacing w:before="60" w:after="0" w:line="240" w:lineRule="auto"/>
              <w:rPr>
                <w:rFonts w:ascii="Arial" w:hAnsi="Arial" w:cs="Arial"/>
                <w:sz w:val="20"/>
                <w:szCs w:val="20"/>
              </w:rPr>
            </w:pPr>
            <w:r w:rsidRPr="0073318B">
              <w:rPr>
                <w:rFonts w:ascii="Arial" w:hAnsi="Arial" w:cs="Arial"/>
                <w:sz w:val="20"/>
                <w:szCs w:val="20"/>
              </w:rPr>
              <w:t>LL.M. Extended research essay</w:t>
            </w:r>
          </w:p>
        </w:tc>
        <w:tc>
          <w:tcPr>
            <w:tcW w:w="360" w:type="dxa"/>
          </w:tcPr>
          <w:p w:rsidR="00135260" w:rsidRPr="0073318B" w:rsidRDefault="00135260" w:rsidP="00E52D5C">
            <w:pPr>
              <w:spacing w:before="60" w:after="0" w:line="240" w:lineRule="auto"/>
              <w:jc w:val="center"/>
              <w:rPr>
                <w:rFonts w:ascii="Arial" w:hAnsi="Arial" w:cs="Arial"/>
                <w:b/>
                <w:sz w:val="32"/>
                <w:szCs w:val="32"/>
              </w:rPr>
            </w:pPr>
          </w:p>
        </w:tc>
        <w:tc>
          <w:tcPr>
            <w:tcW w:w="1080" w:type="dxa"/>
          </w:tcPr>
          <w:p w:rsidR="00135260" w:rsidRPr="00676C02" w:rsidRDefault="00135260" w:rsidP="00E52D5C">
            <w:pPr>
              <w:spacing w:before="60" w:after="0" w:line="240" w:lineRule="auto"/>
              <w:rPr>
                <w:rFonts w:ascii="Arial" w:hAnsi="Arial" w:cs="Arial"/>
                <w:sz w:val="20"/>
                <w:szCs w:val="20"/>
              </w:rPr>
            </w:pPr>
            <w:r w:rsidRPr="00676C02">
              <w:rPr>
                <w:rFonts w:ascii="Arial" w:hAnsi="Arial" w:cs="Arial"/>
                <w:sz w:val="20"/>
                <w:szCs w:val="20"/>
              </w:rPr>
              <w:t>Projek</w:t>
            </w:r>
          </w:p>
          <w:p w:rsidR="00135260" w:rsidRPr="00676C02" w:rsidRDefault="00135260" w:rsidP="00E52D5C">
            <w:pPr>
              <w:spacing w:before="60" w:after="0" w:line="240" w:lineRule="auto"/>
              <w:rPr>
                <w:rFonts w:ascii="Arial" w:hAnsi="Arial" w:cs="Arial"/>
                <w:sz w:val="20"/>
                <w:szCs w:val="20"/>
              </w:rPr>
            </w:pPr>
            <w:r w:rsidRPr="00676C02">
              <w:rPr>
                <w:rFonts w:ascii="Arial" w:hAnsi="Arial" w:cs="Arial"/>
                <w:sz w:val="20"/>
                <w:szCs w:val="20"/>
              </w:rPr>
              <w:t>Project</w:t>
            </w:r>
          </w:p>
        </w:tc>
        <w:tc>
          <w:tcPr>
            <w:tcW w:w="360" w:type="dxa"/>
          </w:tcPr>
          <w:p w:rsidR="00135260" w:rsidRPr="00676C02" w:rsidRDefault="00135260" w:rsidP="00E52D5C">
            <w:pPr>
              <w:spacing w:before="60" w:after="0" w:line="240" w:lineRule="auto"/>
              <w:jc w:val="center"/>
              <w:rPr>
                <w:rFonts w:ascii="Arial" w:hAnsi="Arial" w:cs="Arial"/>
                <w:b/>
                <w:sz w:val="32"/>
                <w:szCs w:val="32"/>
              </w:rPr>
            </w:pPr>
          </w:p>
        </w:tc>
      </w:tr>
    </w:tbl>
    <w:p w:rsidR="00135260" w:rsidRPr="0054138F" w:rsidRDefault="00135260" w:rsidP="00135260">
      <w:pPr>
        <w:tabs>
          <w:tab w:val="left" w:pos="567"/>
          <w:tab w:val="left" w:pos="1134"/>
          <w:tab w:val="left" w:pos="1701"/>
        </w:tabs>
        <w:spacing w:before="20" w:after="20"/>
        <w:ind w:left="567" w:hanging="567"/>
        <w:rPr>
          <w:rFonts w:ascii="Arial" w:hAnsi="Arial" w:cs="Arial"/>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643"/>
        <w:gridCol w:w="91"/>
        <w:gridCol w:w="4734"/>
      </w:tblGrid>
      <w:tr w:rsidR="00135260" w:rsidRPr="0073318B" w:rsidTr="00E52D5C">
        <w:tc>
          <w:tcPr>
            <w:tcW w:w="4643" w:type="dxa"/>
          </w:tcPr>
          <w:p w:rsidR="00135260" w:rsidRPr="00676C02" w:rsidRDefault="00135260" w:rsidP="00E52D5C">
            <w:pPr>
              <w:tabs>
                <w:tab w:val="left" w:pos="567"/>
                <w:tab w:val="left" w:pos="1134"/>
                <w:tab w:val="left" w:pos="1701"/>
              </w:tabs>
              <w:spacing w:before="60" w:after="0" w:line="240" w:lineRule="auto"/>
              <w:jc w:val="both"/>
              <w:rPr>
                <w:rFonts w:ascii="Arial" w:hAnsi="Arial" w:cs="Arial"/>
                <w:sz w:val="20"/>
                <w:szCs w:val="20"/>
              </w:rPr>
            </w:pPr>
            <w:r w:rsidRPr="00676C02">
              <w:rPr>
                <w:rFonts w:ascii="Arial" w:hAnsi="Arial" w:cs="Arial"/>
                <w:sz w:val="20"/>
                <w:szCs w:val="20"/>
              </w:rPr>
              <w:t>Surname and initials of student/researcher</w:t>
            </w:r>
          </w:p>
        </w:tc>
        <w:tc>
          <w:tcPr>
            <w:tcW w:w="4825" w:type="dxa"/>
            <w:gridSpan w:val="2"/>
          </w:tcPr>
          <w:p w:rsidR="00135260" w:rsidRPr="0073318B" w:rsidRDefault="00135260" w:rsidP="00E52D5C">
            <w:pPr>
              <w:tabs>
                <w:tab w:val="left" w:pos="567"/>
                <w:tab w:val="left" w:pos="1134"/>
                <w:tab w:val="left" w:pos="1701"/>
              </w:tabs>
              <w:spacing w:before="20" w:after="20"/>
              <w:jc w:val="right"/>
              <w:rPr>
                <w:rFonts w:ascii="Arial" w:hAnsi="Arial" w:cs="Arial"/>
                <w:b/>
              </w:rPr>
            </w:pPr>
            <w:r>
              <w:rPr>
                <w:rFonts w:ascii="Arial" w:hAnsi="Arial" w:cs="Arial"/>
                <w:b/>
              </w:rPr>
              <w:t>Marais A.J.</w:t>
            </w:r>
          </w:p>
        </w:tc>
      </w:tr>
      <w:tr w:rsidR="00135260" w:rsidRPr="0073318B" w:rsidTr="00E52D5C">
        <w:tc>
          <w:tcPr>
            <w:tcW w:w="4643" w:type="dxa"/>
          </w:tcPr>
          <w:p w:rsidR="00135260" w:rsidRPr="00676C02" w:rsidRDefault="00135260" w:rsidP="00E52D5C">
            <w:pPr>
              <w:tabs>
                <w:tab w:val="left" w:pos="567"/>
                <w:tab w:val="left" w:pos="1134"/>
                <w:tab w:val="left" w:pos="1701"/>
              </w:tabs>
              <w:spacing w:before="60" w:after="0" w:line="240" w:lineRule="auto"/>
              <w:jc w:val="both"/>
              <w:rPr>
                <w:rFonts w:ascii="Arial" w:hAnsi="Arial" w:cs="Arial"/>
                <w:sz w:val="20"/>
                <w:szCs w:val="20"/>
              </w:rPr>
            </w:pPr>
            <w:r w:rsidRPr="00676C02">
              <w:rPr>
                <w:rFonts w:ascii="Arial" w:hAnsi="Arial" w:cs="Arial"/>
                <w:sz w:val="20"/>
                <w:szCs w:val="20"/>
              </w:rPr>
              <w:t>Student number</w:t>
            </w:r>
          </w:p>
        </w:tc>
        <w:tc>
          <w:tcPr>
            <w:tcW w:w="4825" w:type="dxa"/>
            <w:gridSpan w:val="2"/>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41"/>
              <w:gridCol w:w="441"/>
              <w:gridCol w:w="441"/>
              <w:gridCol w:w="441"/>
              <w:gridCol w:w="441"/>
              <w:gridCol w:w="441"/>
              <w:gridCol w:w="441"/>
              <w:gridCol w:w="441"/>
              <w:gridCol w:w="442"/>
              <w:gridCol w:w="442"/>
            </w:tblGrid>
            <w:tr w:rsidR="00135260" w:rsidRPr="0073318B" w:rsidTr="00E52D5C">
              <w:tc>
                <w:tcPr>
                  <w:tcW w:w="441" w:type="dxa"/>
                </w:tcPr>
                <w:p w:rsidR="00135260" w:rsidRPr="0073318B" w:rsidRDefault="00135260" w:rsidP="00E52D5C">
                  <w:pPr>
                    <w:tabs>
                      <w:tab w:val="left" w:pos="567"/>
                      <w:tab w:val="left" w:pos="1134"/>
                      <w:tab w:val="left" w:pos="1701"/>
                    </w:tabs>
                    <w:spacing w:after="0" w:line="240" w:lineRule="auto"/>
                    <w:jc w:val="center"/>
                    <w:rPr>
                      <w:rFonts w:ascii="Arial" w:hAnsi="Arial" w:cs="Arial"/>
                      <w:b/>
                    </w:rPr>
                  </w:pPr>
                  <w:r>
                    <w:rPr>
                      <w:rFonts w:ascii="Arial" w:hAnsi="Arial" w:cs="Arial"/>
                      <w:b/>
                    </w:rPr>
                    <w:t>2</w:t>
                  </w:r>
                </w:p>
              </w:tc>
              <w:tc>
                <w:tcPr>
                  <w:tcW w:w="441" w:type="dxa"/>
                </w:tcPr>
                <w:p w:rsidR="00135260" w:rsidRPr="0073318B" w:rsidRDefault="00135260" w:rsidP="00E52D5C">
                  <w:pPr>
                    <w:tabs>
                      <w:tab w:val="left" w:pos="567"/>
                      <w:tab w:val="left" w:pos="1134"/>
                      <w:tab w:val="left" w:pos="1701"/>
                    </w:tabs>
                    <w:spacing w:after="0" w:line="240" w:lineRule="auto"/>
                    <w:jc w:val="center"/>
                    <w:rPr>
                      <w:rFonts w:ascii="Arial" w:hAnsi="Arial" w:cs="Arial"/>
                      <w:b/>
                    </w:rPr>
                  </w:pPr>
                  <w:r>
                    <w:rPr>
                      <w:rFonts w:ascii="Arial" w:hAnsi="Arial" w:cs="Arial"/>
                      <w:b/>
                    </w:rPr>
                    <w:t>0</w:t>
                  </w:r>
                </w:p>
              </w:tc>
              <w:tc>
                <w:tcPr>
                  <w:tcW w:w="441" w:type="dxa"/>
                </w:tcPr>
                <w:p w:rsidR="00135260" w:rsidRPr="0073318B" w:rsidRDefault="00135260" w:rsidP="00E52D5C">
                  <w:pPr>
                    <w:tabs>
                      <w:tab w:val="left" w:pos="567"/>
                      <w:tab w:val="left" w:pos="1134"/>
                      <w:tab w:val="left" w:pos="1701"/>
                    </w:tabs>
                    <w:spacing w:after="0" w:line="240" w:lineRule="auto"/>
                    <w:jc w:val="center"/>
                    <w:rPr>
                      <w:rFonts w:ascii="Arial" w:hAnsi="Arial" w:cs="Arial"/>
                      <w:b/>
                    </w:rPr>
                  </w:pPr>
                  <w:r>
                    <w:rPr>
                      <w:rFonts w:ascii="Arial" w:hAnsi="Arial" w:cs="Arial"/>
                      <w:b/>
                    </w:rPr>
                    <w:t>0</w:t>
                  </w:r>
                </w:p>
              </w:tc>
              <w:tc>
                <w:tcPr>
                  <w:tcW w:w="441" w:type="dxa"/>
                </w:tcPr>
                <w:p w:rsidR="00135260" w:rsidRPr="0073318B" w:rsidRDefault="00135260" w:rsidP="00E52D5C">
                  <w:pPr>
                    <w:tabs>
                      <w:tab w:val="left" w:pos="567"/>
                      <w:tab w:val="left" w:pos="1134"/>
                      <w:tab w:val="left" w:pos="1701"/>
                    </w:tabs>
                    <w:spacing w:after="0" w:line="240" w:lineRule="auto"/>
                    <w:jc w:val="center"/>
                    <w:rPr>
                      <w:rFonts w:ascii="Arial" w:hAnsi="Arial" w:cs="Arial"/>
                      <w:b/>
                    </w:rPr>
                  </w:pPr>
                  <w:r>
                    <w:rPr>
                      <w:rFonts w:ascii="Arial" w:hAnsi="Arial" w:cs="Arial"/>
                      <w:b/>
                    </w:rPr>
                    <w:t>4</w:t>
                  </w:r>
                </w:p>
              </w:tc>
              <w:tc>
                <w:tcPr>
                  <w:tcW w:w="441" w:type="dxa"/>
                </w:tcPr>
                <w:p w:rsidR="00135260" w:rsidRPr="0073318B" w:rsidRDefault="00135260" w:rsidP="00E52D5C">
                  <w:pPr>
                    <w:tabs>
                      <w:tab w:val="left" w:pos="567"/>
                      <w:tab w:val="left" w:pos="1134"/>
                      <w:tab w:val="left" w:pos="1701"/>
                    </w:tabs>
                    <w:spacing w:after="0" w:line="240" w:lineRule="auto"/>
                    <w:jc w:val="center"/>
                    <w:rPr>
                      <w:rFonts w:ascii="Arial" w:hAnsi="Arial" w:cs="Arial"/>
                      <w:b/>
                    </w:rPr>
                  </w:pPr>
                  <w:r>
                    <w:rPr>
                      <w:rFonts w:ascii="Arial" w:hAnsi="Arial" w:cs="Arial"/>
                      <w:b/>
                    </w:rPr>
                    <w:t>1</w:t>
                  </w:r>
                </w:p>
              </w:tc>
              <w:tc>
                <w:tcPr>
                  <w:tcW w:w="441" w:type="dxa"/>
                </w:tcPr>
                <w:p w:rsidR="00135260" w:rsidRPr="0073318B" w:rsidRDefault="00135260" w:rsidP="00E52D5C">
                  <w:pPr>
                    <w:tabs>
                      <w:tab w:val="left" w:pos="567"/>
                      <w:tab w:val="left" w:pos="1134"/>
                      <w:tab w:val="left" w:pos="1701"/>
                    </w:tabs>
                    <w:spacing w:after="0" w:line="240" w:lineRule="auto"/>
                    <w:jc w:val="center"/>
                    <w:rPr>
                      <w:rFonts w:ascii="Arial" w:hAnsi="Arial" w:cs="Arial"/>
                      <w:b/>
                    </w:rPr>
                  </w:pPr>
                  <w:r>
                    <w:rPr>
                      <w:rFonts w:ascii="Arial" w:hAnsi="Arial" w:cs="Arial"/>
                      <w:b/>
                    </w:rPr>
                    <w:t>7</w:t>
                  </w:r>
                </w:p>
              </w:tc>
              <w:tc>
                <w:tcPr>
                  <w:tcW w:w="441" w:type="dxa"/>
                </w:tcPr>
                <w:p w:rsidR="00135260" w:rsidRPr="0073318B" w:rsidRDefault="00135260" w:rsidP="00E52D5C">
                  <w:pPr>
                    <w:tabs>
                      <w:tab w:val="left" w:pos="567"/>
                      <w:tab w:val="left" w:pos="1134"/>
                      <w:tab w:val="left" w:pos="1701"/>
                    </w:tabs>
                    <w:spacing w:after="0" w:line="240" w:lineRule="auto"/>
                    <w:jc w:val="center"/>
                    <w:rPr>
                      <w:rFonts w:ascii="Arial" w:hAnsi="Arial" w:cs="Arial"/>
                      <w:b/>
                    </w:rPr>
                  </w:pPr>
                  <w:r>
                    <w:rPr>
                      <w:rFonts w:ascii="Arial" w:hAnsi="Arial" w:cs="Arial"/>
                      <w:b/>
                    </w:rPr>
                    <w:t>5</w:t>
                  </w:r>
                </w:p>
              </w:tc>
              <w:tc>
                <w:tcPr>
                  <w:tcW w:w="441" w:type="dxa"/>
                </w:tcPr>
                <w:p w:rsidR="00135260" w:rsidRPr="0073318B" w:rsidRDefault="00135260" w:rsidP="00E52D5C">
                  <w:pPr>
                    <w:tabs>
                      <w:tab w:val="left" w:pos="567"/>
                      <w:tab w:val="left" w:pos="1134"/>
                      <w:tab w:val="left" w:pos="1701"/>
                    </w:tabs>
                    <w:spacing w:after="0" w:line="240" w:lineRule="auto"/>
                    <w:jc w:val="center"/>
                    <w:rPr>
                      <w:rFonts w:ascii="Arial" w:hAnsi="Arial" w:cs="Arial"/>
                      <w:b/>
                    </w:rPr>
                  </w:pPr>
                  <w:r>
                    <w:rPr>
                      <w:rFonts w:ascii="Arial" w:hAnsi="Arial" w:cs="Arial"/>
                      <w:b/>
                    </w:rPr>
                    <w:t>6</w:t>
                  </w:r>
                </w:p>
              </w:tc>
              <w:tc>
                <w:tcPr>
                  <w:tcW w:w="442" w:type="dxa"/>
                </w:tcPr>
                <w:p w:rsidR="00135260" w:rsidRPr="0073318B" w:rsidRDefault="00135260" w:rsidP="00E52D5C">
                  <w:pPr>
                    <w:tabs>
                      <w:tab w:val="left" w:pos="567"/>
                      <w:tab w:val="left" w:pos="1134"/>
                      <w:tab w:val="left" w:pos="1701"/>
                    </w:tabs>
                    <w:spacing w:after="0" w:line="240" w:lineRule="auto"/>
                    <w:jc w:val="center"/>
                    <w:rPr>
                      <w:rFonts w:ascii="Arial" w:hAnsi="Arial" w:cs="Arial"/>
                      <w:b/>
                    </w:rPr>
                  </w:pPr>
                  <w:r>
                    <w:rPr>
                      <w:rFonts w:ascii="Arial" w:hAnsi="Arial" w:cs="Arial"/>
                      <w:b/>
                    </w:rPr>
                    <w:t>6</w:t>
                  </w:r>
                </w:p>
              </w:tc>
              <w:tc>
                <w:tcPr>
                  <w:tcW w:w="442" w:type="dxa"/>
                </w:tcPr>
                <w:p w:rsidR="00135260" w:rsidRPr="0073318B" w:rsidRDefault="00135260" w:rsidP="00E52D5C">
                  <w:pPr>
                    <w:tabs>
                      <w:tab w:val="left" w:pos="567"/>
                      <w:tab w:val="left" w:pos="1134"/>
                      <w:tab w:val="left" w:pos="1701"/>
                    </w:tabs>
                    <w:spacing w:after="0" w:line="240" w:lineRule="auto"/>
                    <w:jc w:val="center"/>
                    <w:rPr>
                      <w:rFonts w:ascii="Arial" w:hAnsi="Arial" w:cs="Arial"/>
                      <w:b/>
                    </w:rPr>
                  </w:pPr>
                  <w:r>
                    <w:rPr>
                      <w:rFonts w:ascii="Arial" w:hAnsi="Arial" w:cs="Arial"/>
                      <w:b/>
                    </w:rPr>
                    <w:t>3</w:t>
                  </w:r>
                </w:p>
              </w:tc>
            </w:tr>
          </w:tbl>
          <w:p w:rsidR="00135260" w:rsidRPr="0073318B" w:rsidRDefault="00135260" w:rsidP="00E52D5C">
            <w:pPr>
              <w:tabs>
                <w:tab w:val="left" w:pos="567"/>
                <w:tab w:val="left" w:pos="1134"/>
                <w:tab w:val="left" w:pos="1701"/>
              </w:tabs>
              <w:spacing w:before="20" w:after="20"/>
              <w:jc w:val="both"/>
              <w:rPr>
                <w:rFonts w:ascii="Arial" w:hAnsi="Arial" w:cs="Arial"/>
                <w:b/>
              </w:rPr>
            </w:pPr>
          </w:p>
        </w:tc>
      </w:tr>
      <w:tr w:rsidR="00135260" w:rsidRPr="0073318B" w:rsidTr="00E52D5C">
        <w:tc>
          <w:tcPr>
            <w:tcW w:w="4643" w:type="dxa"/>
          </w:tcPr>
          <w:p w:rsidR="00135260" w:rsidRPr="0073318B" w:rsidRDefault="00135260" w:rsidP="00E52D5C">
            <w:pPr>
              <w:tabs>
                <w:tab w:val="left" w:pos="567"/>
                <w:tab w:val="left" w:pos="1134"/>
                <w:tab w:val="left" w:pos="1701"/>
              </w:tabs>
              <w:spacing w:before="60" w:after="0" w:line="240" w:lineRule="auto"/>
              <w:jc w:val="both"/>
              <w:rPr>
                <w:rFonts w:ascii="Arial" w:hAnsi="Arial" w:cs="Arial"/>
                <w:sz w:val="20"/>
                <w:szCs w:val="20"/>
              </w:rPr>
            </w:pPr>
            <w:r w:rsidRPr="0073318B">
              <w:rPr>
                <w:rFonts w:ascii="Arial" w:hAnsi="Arial" w:cs="Arial"/>
                <w:sz w:val="20"/>
                <w:szCs w:val="20"/>
              </w:rPr>
              <w:t>Cell number and e-mail address</w:t>
            </w:r>
          </w:p>
        </w:tc>
        <w:tc>
          <w:tcPr>
            <w:tcW w:w="4825" w:type="dxa"/>
            <w:gridSpan w:val="2"/>
          </w:tcPr>
          <w:p w:rsidR="00135260" w:rsidRPr="0073318B" w:rsidRDefault="00135260" w:rsidP="00E52D5C">
            <w:pPr>
              <w:tabs>
                <w:tab w:val="left" w:pos="567"/>
                <w:tab w:val="left" w:pos="1134"/>
                <w:tab w:val="left" w:pos="1701"/>
              </w:tabs>
              <w:spacing w:before="60" w:after="0" w:line="240" w:lineRule="auto"/>
              <w:jc w:val="right"/>
              <w:rPr>
                <w:rFonts w:ascii="Arial" w:hAnsi="Arial" w:cs="Arial"/>
                <w:b/>
              </w:rPr>
            </w:pPr>
            <w:r>
              <w:rPr>
                <w:rFonts w:ascii="Arial" w:hAnsi="Arial" w:cs="Arial"/>
                <w:b/>
              </w:rPr>
              <w:t>084 522 9634 marais.hannes@gmail.com</w:t>
            </w:r>
          </w:p>
        </w:tc>
      </w:tr>
      <w:tr w:rsidR="00135260" w:rsidRPr="0073318B" w:rsidTr="00E52D5C">
        <w:tc>
          <w:tcPr>
            <w:tcW w:w="4643" w:type="dxa"/>
          </w:tcPr>
          <w:p w:rsidR="00135260" w:rsidRPr="0073318B" w:rsidRDefault="00135260" w:rsidP="00E52D5C">
            <w:pPr>
              <w:tabs>
                <w:tab w:val="left" w:pos="567"/>
                <w:tab w:val="left" w:pos="1134"/>
                <w:tab w:val="left" w:pos="1701"/>
              </w:tabs>
              <w:spacing w:before="60" w:after="0" w:line="240" w:lineRule="auto"/>
              <w:jc w:val="both"/>
              <w:rPr>
                <w:rFonts w:ascii="Arial" w:hAnsi="Arial" w:cs="Arial"/>
                <w:sz w:val="20"/>
                <w:szCs w:val="20"/>
              </w:rPr>
            </w:pPr>
            <w:r w:rsidRPr="0073318B">
              <w:rPr>
                <w:rFonts w:ascii="Arial" w:hAnsi="Arial" w:cs="Arial"/>
                <w:sz w:val="20"/>
                <w:szCs w:val="20"/>
              </w:rPr>
              <w:t>Proposed supervisor</w:t>
            </w:r>
          </w:p>
        </w:tc>
        <w:tc>
          <w:tcPr>
            <w:tcW w:w="4825" w:type="dxa"/>
            <w:gridSpan w:val="2"/>
          </w:tcPr>
          <w:p w:rsidR="00135260" w:rsidRPr="0073318B" w:rsidRDefault="00135260" w:rsidP="00E52D5C">
            <w:pPr>
              <w:tabs>
                <w:tab w:val="left" w:pos="567"/>
                <w:tab w:val="left" w:pos="1134"/>
                <w:tab w:val="left" w:pos="1701"/>
              </w:tabs>
              <w:spacing w:before="20" w:after="20"/>
              <w:jc w:val="right"/>
              <w:rPr>
                <w:rFonts w:ascii="Arial" w:hAnsi="Arial" w:cs="Arial"/>
                <w:b/>
              </w:rPr>
            </w:pPr>
            <w:r>
              <w:rPr>
                <w:rFonts w:ascii="Arial" w:hAnsi="Arial" w:cs="Arial"/>
                <w:b/>
              </w:rPr>
              <w:t>Miss Karlien Kitching and prof. Snyman-van Deventer</w:t>
            </w:r>
          </w:p>
        </w:tc>
      </w:tr>
      <w:tr w:rsidR="00135260" w:rsidRPr="0073318B" w:rsidTr="00E52D5C">
        <w:trPr>
          <w:trHeight w:val="557"/>
        </w:trPr>
        <w:tc>
          <w:tcPr>
            <w:tcW w:w="9468" w:type="dxa"/>
            <w:gridSpan w:val="3"/>
          </w:tcPr>
          <w:p w:rsidR="00135260" w:rsidRPr="0073318B" w:rsidRDefault="00135260" w:rsidP="00E52D5C">
            <w:pPr>
              <w:tabs>
                <w:tab w:val="left" w:pos="567"/>
                <w:tab w:val="left" w:pos="1134"/>
                <w:tab w:val="left" w:pos="1701"/>
              </w:tabs>
              <w:spacing w:after="0" w:line="240" w:lineRule="auto"/>
              <w:jc w:val="center"/>
              <w:rPr>
                <w:rFonts w:ascii="Arial" w:hAnsi="Arial" w:cs="Arial"/>
                <w:b/>
              </w:rPr>
            </w:pPr>
            <w:r w:rsidRPr="0073318B">
              <w:rPr>
                <w:rFonts w:ascii="Arial" w:hAnsi="Arial" w:cs="Arial"/>
                <w:b/>
              </w:rPr>
              <w:t>Recommendation of proposed supervisor</w:t>
            </w:r>
          </w:p>
        </w:tc>
      </w:tr>
      <w:tr w:rsidR="00135260" w:rsidRPr="0073318B" w:rsidTr="00E52D5C">
        <w:trPr>
          <w:trHeight w:val="557"/>
        </w:trPr>
        <w:tc>
          <w:tcPr>
            <w:tcW w:w="9468" w:type="dxa"/>
            <w:gridSpan w:val="3"/>
          </w:tcPr>
          <w:p w:rsidR="00135260" w:rsidRPr="0073318B" w:rsidRDefault="00135260" w:rsidP="00E52D5C">
            <w:pPr>
              <w:tabs>
                <w:tab w:val="left" w:pos="567"/>
                <w:tab w:val="left" w:pos="1134"/>
                <w:tab w:val="left" w:pos="1701"/>
              </w:tabs>
              <w:spacing w:before="120" w:after="0" w:line="240" w:lineRule="auto"/>
              <w:rPr>
                <w:rFonts w:ascii="Arial" w:hAnsi="Arial" w:cs="Arial"/>
              </w:rPr>
            </w:pPr>
          </w:p>
          <w:p w:rsidR="00135260" w:rsidRPr="0073318B" w:rsidRDefault="00135260" w:rsidP="00E52D5C">
            <w:pPr>
              <w:tabs>
                <w:tab w:val="left" w:pos="567"/>
                <w:tab w:val="left" w:pos="1134"/>
                <w:tab w:val="left" w:pos="1701"/>
              </w:tabs>
              <w:spacing w:before="120" w:after="0" w:line="240" w:lineRule="auto"/>
              <w:rPr>
                <w:rFonts w:ascii="Arial" w:hAnsi="Arial" w:cs="Arial"/>
              </w:rPr>
            </w:pPr>
          </w:p>
        </w:tc>
      </w:tr>
      <w:tr w:rsidR="00135260" w:rsidRPr="0073318B" w:rsidTr="00E52D5C">
        <w:trPr>
          <w:trHeight w:val="557"/>
        </w:trPr>
        <w:tc>
          <w:tcPr>
            <w:tcW w:w="4734" w:type="dxa"/>
            <w:gridSpan w:val="2"/>
          </w:tcPr>
          <w:p w:rsidR="00135260" w:rsidRPr="00676C02" w:rsidRDefault="00135260" w:rsidP="00E52D5C">
            <w:pPr>
              <w:tabs>
                <w:tab w:val="left" w:pos="567"/>
                <w:tab w:val="left" w:pos="1134"/>
                <w:tab w:val="left" w:pos="1701"/>
              </w:tabs>
              <w:spacing w:before="60" w:after="60"/>
              <w:jc w:val="both"/>
              <w:rPr>
                <w:rFonts w:ascii="Arial" w:hAnsi="Arial" w:cs="Arial"/>
              </w:rPr>
            </w:pPr>
            <w:r w:rsidRPr="00676C02">
              <w:rPr>
                <w:rFonts w:ascii="Arial" w:hAnsi="Arial" w:cs="Arial"/>
                <w:sz w:val="20"/>
                <w:szCs w:val="20"/>
              </w:rPr>
              <w:t>Signature of proposed supervisor</w:t>
            </w:r>
          </w:p>
        </w:tc>
        <w:tc>
          <w:tcPr>
            <w:tcW w:w="4734" w:type="dxa"/>
          </w:tcPr>
          <w:p w:rsidR="00135260" w:rsidRPr="0073318B" w:rsidRDefault="00135260" w:rsidP="00E52D5C">
            <w:pPr>
              <w:tabs>
                <w:tab w:val="left" w:pos="567"/>
                <w:tab w:val="left" w:pos="1134"/>
                <w:tab w:val="left" w:pos="1701"/>
              </w:tabs>
              <w:spacing w:before="60" w:after="60"/>
              <w:jc w:val="both"/>
              <w:rPr>
                <w:rFonts w:ascii="Arial" w:hAnsi="Arial" w:cs="Arial"/>
              </w:rPr>
            </w:pPr>
          </w:p>
        </w:tc>
      </w:tr>
      <w:tr w:rsidR="00135260" w:rsidRPr="0073318B" w:rsidTr="00E52D5C">
        <w:trPr>
          <w:trHeight w:val="557"/>
        </w:trPr>
        <w:tc>
          <w:tcPr>
            <w:tcW w:w="9468" w:type="dxa"/>
            <w:gridSpan w:val="3"/>
          </w:tcPr>
          <w:p w:rsidR="00135260" w:rsidRPr="0073318B" w:rsidRDefault="00135260" w:rsidP="00E52D5C">
            <w:pPr>
              <w:tabs>
                <w:tab w:val="left" w:pos="567"/>
                <w:tab w:val="left" w:pos="1134"/>
                <w:tab w:val="left" w:pos="1701"/>
              </w:tabs>
              <w:spacing w:after="0" w:line="240" w:lineRule="auto"/>
              <w:jc w:val="center"/>
              <w:rPr>
                <w:rFonts w:ascii="Arial" w:hAnsi="Arial" w:cs="Arial"/>
                <w:b/>
              </w:rPr>
            </w:pPr>
            <w:r w:rsidRPr="0073318B">
              <w:rPr>
                <w:rFonts w:ascii="Arial" w:hAnsi="Arial" w:cs="Arial"/>
                <w:b/>
              </w:rPr>
              <w:t>Recommendation of department and date of approval</w:t>
            </w:r>
          </w:p>
        </w:tc>
      </w:tr>
      <w:tr w:rsidR="00135260" w:rsidRPr="0073318B" w:rsidTr="00E52D5C">
        <w:tc>
          <w:tcPr>
            <w:tcW w:w="9468" w:type="dxa"/>
            <w:gridSpan w:val="3"/>
            <w:tcBorders>
              <w:bottom w:val="single" w:sz="4" w:space="0" w:color="000000"/>
            </w:tcBorders>
          </w:tcPr>
          <w:p w:rsidR="00135260" w:rsidRPr="0073318B" w:rsidRDefault="00135260" w:rsidP="00E52D5C">
            <w:pPr>
              <w:tabs>
                <w:tab w:val="left" w:pos="567"/>
                <w:tab w:val="left" w:pos="1134"/>
                <w:tab w:val="left" w:pos="1701"/>
              </w:tabs>
              <w:spacing w:before="60" w:after="60"/>
              <w:jc w:val="both"/>
              <w:rPr>
                <w:rFonts w:ascii="Arial" w:hAnsi="Arial" w:cs="Arial"/>
              </w:rPr>
            </w:pPr>
          </w:p>
          <w:p w:rsidR="00135260" w:rsidRPr="0073318B" w:rsidRDefault="00135260" w:rsidP="00E52D5C">
            <w:pPr>
              <w:tabs>
                <w:tab w:val="left" w:pos="567"/>
                <w:tab w:val="left" w:pos="1134"/>
                <w:tab w:val="left" w:pos="1701"/>
              </w:tabs>
              <w:spacing w:before="60" w:after="60"/>
              <w:jc w:val="both"/>
              <w:rPr>
                <w:rFonts w:ascii="Arial" w:hAnsi="Arial" w:cs="Arial"/>
              </w:rPr>
            </w:pPr>
          </w:p>
        </w:tc>
      </w:tr>
      <w:tr w:rsidR="00135260" w:rsidRPr="0073318B" w:rsidTr="00E52D5C">
        <w:tc>
          <w:tcPr>
            <w:tcW w:w="4643" w:type="dxa"/>
            <w:tcBorders>
              <w:bottom w:val="single" w:sz="4" w:space="0" w:color="auto"/>
            </w:tcBorders>
          </w:tcPr>
          <w:p w:rsidR="00135260" w:rsidRPr="0073318B" w:rsidRDefault="00135260" w:rsidP="00E52D5C">
            <w:pPr>
              <w:tabs>
                <w:tab w:val="left" w:pos="567"/>
                <w:tab w:val="left" w:pos="1134"/>
                <w:tab w:val="left" w:pos="1701"/>
              </w:tabs>
              <w:spacing w:before="20" w:after="20"/>
              <w:jc w:val="both"/>
              <w:rPr>
                <w:rFonts w:ascii="Arial" w:hAnsi="Arial" w:cs="Arial"/>
              </w:rPr>
            </w:pPr>
            <w:r w:rsidRPr="0073318B">
              <w:rPr>
                <w:rFonts w:ascii="Arial" w:hAnsi="Arial" w:cs="Arial"/>
                <w:sz w:val="20"/>
                <w:szCs w:val="20"/>
              </w:rPr>
              <w:t>Signature of chairperson of department</w:t>
            </w:r>
          </w:p>
        </w:tc>
        <w:tc>
          <w:tcPr>
            <w:tcW w:w="4825" w:type="dxa"/>
            <w:gridSpan w:val="2"/>
            <w:tcBorders>
              <w:bottom w:val="single" w:sz="4" w:space="0" w:color="auto"/>
            </w:tcBorders>
          </w:tcPr>
          <w:p w:rsidR="00135260" w:rsidRPr="0073318B" w:rsidRDefault="00135260" w:rsidP="00E52D5C">
            <w:pPr>
              <w:tabs>
                <w:tab w:val="left" w:pos="567"/>
                <w:tab w:val="left" w:pos="1134"/>
                <w:tab w:val="left" w:pos="1701"/>
              </w:tabs>
              <w:spacing w:before="20" w:after="20"/>
              <w:jc w:val="both"/>
              <w:rPr>
                <w:rFonts w:ascii="Arial" w:hAnsi="Arial" w:cs="Arial"/>
              </w:rPr>
            </w:pPr>
          </w:p>
        </w:tc>
      </w:tr>
    </w:tbl>
    <w:p w:rsidR="008632C7" w:rsidRPr="000640FD" w:rsidRDefault="008632C7" w:rsidP="002C732F">
      <w:pPr>
        <w:contextualSpacing/>
        <w:jc w:val="center"/>
        <w:rPr>
          <w:rFonts w:cs="Times New Roman"/>
        </w:rPr>
      </w:pPr>
    </w:p>
    <w:p w:rsidR="00A70290" w:rsidRDefault="00A70290" w:rsidP="00135260">
      <w:pPr>
        <w:contextualSpacing/>
        <w:jc w:val="center"/>
        <w:rPr>
          <w:rFonts w:cs="Times New Roman"/>
        </w:rPr>
      </w:pPr>
    </w:p>
    <w:p w:rsidR="00A70290" w:rsidRDefault="00A70290" w:rsidP="00135260">
      <w:pPr>
        <w:contextualSpacing/>
        <w:jc w:val="center"/>
        <w:rPr>
          <w:rFonts w:cs="Times New Roman"/>
        </w:rPr>
      </w:pPr>
    </w:p>
    <w:p w:rsidR="00A70290" w:rsidRDefault="00A70290" w:rsidP="00135260">
      <w:pPr>
        <w:contextualSpacing/>
        <w:jc w:val="center"/>
        <w:rPr>
          <w:rFonts w:cs="Times New Roman"/>
        </w:rPr>
      </w:pPr>
    </w:p>
    <w:p w:rsidR="00A70290" w:rsidRDefault="00A70290" w:rsidP="00135260">
      <w:pPr>
        <w:contextualSpacing/>
        <w:jc w:val="center"/>
        <w:rPr>
          <w:rFonts w:cs="Times New Roman"/>
        </w:rPr>
      </w:pPr>
    </w:p>
    <w:p w:rsidR="00A70290" w:rsidRDefault="00A70290" w:rsidP="00135260">
      <w:pPr>
        <w:contextualSpacing/>
        <w:jc w:val="center"/>
        <w:rPr>
          <w:rFonts w:cs="Times New Roman"/>
        </w:rPr>
      </w:pPr>
    </w:p>
    <w:p w:rsidR="00A70290" w:rsidRDefault="00A70290" w:rsidP="00135260">
      <w:pPr>
        <w:contextualSpacing/>
        <w:jc w:val="center"/>
        <w:rPr>
          <w:rFonts w:cs="Times New Roman"/>
        </w:rPr>
      </w:pPr>
    </w:p>
    <w:p w:rsidR="00A70290" w:rsidRDefault="00A70290" w:rsidP="00135260">
      <w:pPr>
        <w:contextualSpacing/>
        <w:jc w:val="center"/>
        <w:rPr>
          <w:rFonts w:cs="Times New Roman"/>
        </w:rPr>
      </w:pPr>
    </w:p>
    <w:p w:rsidR="00A70290" w:rsidRDefault="00A70290" w:rsidP="00135260">
      <w:pPr>
        <w:contextualSpacing/>
        <w:jc w:val="center"/>
        <w:rPr>
          <w:rFonts w:cs="Times New Roman"/>
        </w:rPr>
      </w:pPr>
    </w:p>
    <w:p w:rsidR="00A70290" w:rsidRDefault="00A70290" w:rsidP="00135260">
      <w:pPr>
        <w:contextualSpacing/>
        <w:jc w:val="center"/>
        <w:rPr>
          <w:rFonts w:cs="Times New Roman"/>
        </w:rPr>
      </w:pPr>
    </w:p>
    <w:p w:rsidR="008632C7" w:rsidRPr="000640FD" w:rsidRDefault="002E7196" w:rsidP="00811405">
      <w:pPr>
        <w:contextualSpacing/>
        <w:jc w:val="center"/>
        <w:rPr>
          <w:rFonts w:cs="Times New Roman"/>
        </w:rPr>
      </w:pPr>
      <w:r w:rsidRPr="000640FD">
        <w:rPr>
          <w:rFonts w:cs="Times New Roman"/>
          <w:b/>
          <w:bCs/>
        </w:rPr>
        <w:lastRenderedPageBreak/>
        <w:t>1. Descriptive title</w:t>
      </w:r>
    </w:p>
    <w:p w:rsidR="00895F75" w:rsidRPr="000640FD" w:rsidRDefault="00895F75" w:rsidP="000640FD">
      <w:pPr>
        <w:contextualSpacing/>
        <w:jc w:val="both"/>
        <w:rPr>
          <w:rFonts w:cs="Times New Roman"/>
        </w:rPr>
      </w:pPr>
    </w:p>
    <w:p w:rsidR="008632C7" w:rsidRPr="000640FD" w:rsidRDefault="004C1B6D" w:rsidP="000640FD">
      <w:pPr>
        <w:contextualSpacing/>
        <w:jc w:val="both"/>
        <w:rPr>
          <w:rFonts w:cs="Times New Roman"/>
        </w:rPr>
      </w:pPr>
      <w:r w:rsidRPr="000640FD">
        <w:rPr>
          <w:rFonts w:cs="Times New Roman"/>
        </w:rPr>
        <w:t xml:space="preserve">The </w:t>
      </w:r>
      <w:r w:rsidR="00DA2299" w:rsidRPr="000640FD">
        <w:rPr>
          <w:rFonts w:cs="Times New Roman"/>
        </w:rPr>
        <w:t>E</w:t>
      </w:r>
      <w:r w:rsidRPr="000640FD">
        <w:rPr>
          <w:rFonts w:cs="Times New Roman"/>
        </w:rPr>
        <w:t xml:space="preserve">fficiency </w:t>
      </w:r>
      <w:r w:rsidR="00DA2299" w:rsidRPr="000640FD">
        <w:rPr>
          <w:rFonts w:cs="Times New Roman"/>
        </w:rPr>
        <w:t>D</w:t>
      </w:r>
      <w:r w:rsidRPr="000640FD">
        <w:rPr>
          <w:rFonts w:cs="Times New Roman"/>
        </w:rPr>
        <w:t>efence in South African Competition Law: Application and Recommendations.</w:t>
      </w:r>
    </w:p>
    <w:p w:rsidR="002E7196" w:rsidRPr="000640FD" w:rsidRDefault="002E7196" w:rsidP="000640FD">
      <w:pPr>
        <w:contextualSpacing/>
        <w:jc w:val="both"/>
        <w:rPr>
          <w:rFonts w:cs="Times New Roman"/>
        </w:rPr>
      </w:pPr>
    </w:p>
    <w:p w:rsidR="008632C7" w:rsidRPr="000640FD" w:rsidRDefault="002E7196" w:rsidP="002C732F">
      <w:pPr>
        <w:contextualSpacing/>
        <w:jc w:val="center"/>
        <w:rPr>
          <w:rFonts w:cs="Times New Roman"/>
        </w:rPr>
      </w:pPr>
      <w:r w:rsidRPr="000640FD">
        <w:rPr>
          <w:rFonts w:cs="Times New Roman"/>
          <w:b/>
          <w:bCs/>
        </w:rPr>
        <w:t>2. Academic and practical reasons for selectin</w:t>
      </w:r>
      <w:r w:rsidR="00F97E59">
        <w:rPr>
          <w:rFonts w:cs="Times New Roman"/>
          <w:b/>
          <w:bCs/>
        </w:rPr>
        <w:t>g</w:t>
      </w:r>
      <w:r w:rsidRPr="000640FD">
        <w:rPr>
          <w:rFonts w:cs="Times New Roman"/>
          <w:b/>
          <w:bCs/>
        </w:rPr>
        <w:t xml:space="preserve"> the topic</w:t>
      </w:r>
    </w:p>
    <w:p w:rsidR="00895F75" w:rsidRPr="000640FD" w:rsidRDefault="00895F75" w:rsidP="000640FD">
      <w:pPr>
        <w:contextualSpacing/>
        <w:jc w:val="both"/>
        <w:rPr>
          <w:rFonts w:cs="Times New Roman"/>
        </w:rPr>
      </w:pPr>
    </w:p>
    <w:p w:rsidR="00272375" w:rsidRPr="000640FD" w:rsidRDefault="00007F7C" w:rsidP="00B33627">
      <w:pPr>
        <w:contextualSpacing/>
        <w:jc w:val="both"/>
        <w:rPr>
          <w:rFonts w:cs="Times New Roman"/>
        </w:rPr>
      </w:pPr>
      <w:r w:rsidRPr="000640FD">
        <w:rPr>
          <w:rFonts w:cs="Times New Roman"/>
        </w:rPr>
        <w:t>The purpose of the</w:t>
      </w:r>
      <w:r w:rsidR="00685803">
        <w:rPr>
          <w:rFonts w:cs="Times New Roman"/>
        </w:rPr>
        <w:t xml:space="preserve"> South African</w:t>
      </w:r>
      <w:r w:rsidRPr="000640FD">
        <w:rPr>
          <w:rFonts w:cs="Times New Roman"/>
        </w:rPr>
        <w:t xml:space="preserve"> Competition Act</w:t>
      </w:r>
      <w:r w:rsidR="00685803">
        <w:rPr>
          <w:rStyle w:val="FootnoteReference"/>
          <w:rFonts w:cs="Times New Roman"/>
        </w:rPr>
        <w:footnoteReference w:id="2"/>
      </w:r>
      <w:r w:rsidRPr="000640FD">
        <w:rPr>
          <w:rFonts w:cs="Times New Roman"/>
        </w:rPr>
        <w:t xml:space="preserve"> is to promote and maintain competition</w:t>
      </w:r>
      <w:r w:rsidR="00E408F6" w:rsidRPr="000640FD">
        <w:rPr>
          <w:rStyle w:val="FootnoteReference"/>
          <w:rFonts w:cs="Times New Roman"/>
        </w:rPr>
        <w:footnoteReference w:id="3"/>
      </w:r>
      <w:r w:rsidRPr="000640FD">
        <w:rPr>
          <w:rFonts w:cs="Times New Roman"/>
        </w:rPr>
        <w:t xml:space="preserve"> in the Republic of South Africa in order to </w:t>
      </w:r>
      <w:r w:rsidR="004B408F" w:rsidRPr="000640FD">
        <w:rPr>
          <w:rFonts w:cs="Times New Roman"/>
        </w:rPr>
        <w:t>enhance,</w:t>
      </w:r>
      <w:r w:rsidRPr="000640FD">
        <w:rPr>
          <w:rFonts w:cs="Times New Roman"/>
        </w:rPr>
        <w:t xml:space="preserve"> </w:t>
      </w:r>
      <w:r w:rsidR="004B408F" w:rsidRPr="000640FD">
        <w:rPr>
          <w:rFonts w:cs="Times New Roman"/>
        </w:rPr>
        <w:t xml:space="preserve">among other things, </w:t>
      </w:r>
      <w:r w:rsidRPr="000640FD">
        <w:rPr>
          <w:rFonts w:cs="Times New Roman"/>
        </w:rPr>
        <w:t xml:space="preserve">the development and efficiency of the South African economy, </w:t>
      </w:r>
      <w:r w:rsidR="004B408F" w:rsidRPr="000640FD">
        <w:rPr>
          <w:rFonts w:cs="Times New Roman"/>
        </w:rPr>
        <w:t xml:space="preserve">employment, </w:t>
      </w:r>
      <w:r w:rsidRPr="000640FD">
        <w:rPr>
          <w:rFonts w:cs="Times New Roman"/>
        </w:rPr>
        <w:t>consumer welfare</w:t>
      </w:r>
      <w:r w:rsidR="004B408F" w:rsidRPr="000640FD">
        <w:rPr>
          <w:rFonts w:cs="Times New Roman"/>
        </w:rPr>
        <w:t xml:space="preserve"> and the competitiveness </w:t>
      </w:r>
      <w:r w:rsidR="006F39BB" w:rsidRPr="000640FD">
        <w:rPr>
          <w:rFonts w:cs="Times New Roman"/>
        </w:rPr>
        <w:t>of South</w:t>
      </w:r>
      <w:r w:rsidR="004B408F" w:rsidRPr="000640FD">
        <w:rPr>
          <w:rFonts w:cs="Times New Roman"/>
        </w:rPr>
        <w:t xml:space="preserve"> Africa</w:t>
      </w:r>
      <w:r w:rsidR="00685803">
        <w:rPr>
          <w:rFonts w:cs="Times New Roman"/>
        </w:rPr>
        <w:t>n producers</w:t>
      </w:r>
      <w:r w:rsidR="004B408F" w:rsidRPr="000640FD">
        <w:rPr>
          <w:rFonts w:cs="Times New Roman"/>
        </w:rPr>
        <w:t xml:space="preserve"> in international markets.</w:t>
      </w:r>
      <w:r w:rsidR="004B408F" w:rsidRPr="000640FD">
        <w:rPr>
          <w:rStyle w:val="FootnoteReference"/>
          <w:rFonts w:cs="Times New Roman"/>
        </w:rPr>
        <w:footnoteReference w:id="4"/>
      </w:r>
      <w:r w:rsidR="004B408F" w:rsidRPr="000640FD">
        <w:rPr>
          <w:rFonts w:cs="Times New Roman"/>
        </w:rPr>
        <w:t xml:space="preserve"> </w:t>
      </w:r>
    </w:p>
    <w:p w:rsidR="00272375" w:rsidRPr="000640FD" w:rsidRDefault="00272375" w:rsidP="00B33627">
      <w:pPr>
        <w:contextualSpacing/>
        <w:jc w:val="both"/>
        <w:rPr>
          <w:rFonts w:cs="Times New Roman"/>
        </w:rPr>
      </w:pPr>
    </w:p>
    <w:p w:rsidR="00895F75" w:rsidRPr="000640FD" w:rsidRDefault="002772DA" w:rsidP="00B33627">
      <w:pPr>
        <w:contextualSpacing/>
        <w:jc w:val="both"/>
        <w:rPr>
          <w:rFonts w:cs="Times New Roman"/>
        </w:rPr>
      </w:pPr>
      <w:r w:rsidRPr="000640FD">
        <w:rPr>
          <w:rFonts w:cs="Times New Roman"/>
        </w:rPr>
        <w:t xml:space="preserve">In </w:t>
      </w:r>
      <w:r w:rsidR="00744C29" w:rsidRPr="000640FD">
        <w:rPr>
          <w:rFonts w:cs="Times New Roman"/>
        </w:rPr>
        <w:t>general,</w:t>
      </w:r>
      <w:r w:rsidR="00D00C53" w:rsidRPr="000640FD">
        <w:rPr>
          <w:rFonts w:cs="Times New Roman"/>
        </w:rPr>
        <w:t xml:space="preserve"> competition is essential in achieving the</w:t>
      </w:r>
      <w:r w:rsidR="00272375" w:rsidRPr="000640FD">
        <w:rPr>
          <w:rFonts w:cs="Times New Roman"/>
        </w:rPr>
        <w:t xml:space="preserve"> </w:t>
      </w:r>
      <w:r w:rsidR="000E6201" w:rsidRPr="000640FD">
        <w:rPr>
          <w:rFonts w:cs="Times New Roman"/>
        </w:rPr>
        <w:t>above-mentioned</w:t>
      </w:r>
      <w:r w:rsidRPr="000640FD">
        <w:rPr>
          <w:rFonts w:cs="Times New Roman"/>
        </w:rPr>
        <w:t xml:space="preserve"> </w:t>
      </w:r>
      <w:r w:rsidR="00D00C53" w:rsidRPr="000640FD">
        <w:rPr>
          <w:rFonts w:cs="Times New Roman"/>
        </w:rPr>
        <w:t>objectives.</w:t>
      </w:r>
      <w:r w:rsidR="00847850" w:rsidRPr="000640FD">
        <w:rPr>
          <w:rFonts w:cs="Times New Roman"/>
        </w:rPr>
        <w:t xml:space="preserve"> </w:t>
      </w:r>
      <w:r w:rsidR="00744C29" w:rsidRPr="000640FD">
        <w:rPr>
          <w:rFonts w:cs="Times New Roman"/>
        </w:rPr>
        <w:t>Hence,</w:t>
      </w:r>
      <w:r w:rsidR="00847850" w:rsidRPr="000640FD">
        <w:rPr>
          <w:rFonts w:cs="Times New Roman"/>
        </w:rPr>
        <w:t xml:space="preserve"> the Competition Act</w:t>
      </w:r>
      <w:r w:rsidR="00847850" w:rsidRPr="000640FD">
        <w:rPr>
          <w:rStyle w:val="FootnoteReference"/>
          <w:rFonts w:cs="Times New Roman"/>
        </w:rPr>
        <w:footnoteReference w:id="5"/>
      </w:r>
      <w:r w:rsidRPr="000640FD">
        <w:rPr>
          <w:rFonts w:cs="Times New Roman"/>
        </w:rPr>
        <w:t xml:space="preserve"> </w:t>
      </w:r>
      <w:r w:rsidR="00744C29" w:rsidRPr="000640FD">
        <w:rPr>
          <w:rFonts w:cs="Times New Roman"/>
        </w:rPr>
        <w:t xml:space="preserve">prohibits </w:t>
      </w:r>
      <w:r w:rsidR="000E6201" w:rsidRPr="000640FD">
        <w:rPr>
          <w:rFonts w:cs="Times New Roman"/>
        </w:rPr>
        <w:t>conduct that</w:t>
      </w:r>
      <w:r w:rsidR="00744C29" w:rsidRPr="000640FD">
        <w:rPr>
          <w:rFonts w:cs="Times New Roman"/>
        </w:rPr>
        <w:t xml:space="preserve"> it perceives as being anti-competitive in nature. </w:t>
      </w:r>
      <w:r w:rsidRPr="000640FD">
        <w:rPr>
          <w:rFonts w:cs="Times New Roman"/>
        </w:rPr>
        <w:t xml:space="preserve">There </w:t>
      </w:r>
      <w:r w:rsidR="003B0DDD" w:rsidRPr="000640FD">
        <w:rPr>
          <w:rFonts w:cs="Times New Roman"/>
        </w:rPr>
        <w:t>are</w:t>
      </w:r>
      <w:r w:rsidRPr="000640FD">
        <w:rPr>
          <w:rFonts w:cs="Times New Roman"/>
        </w:rPr>
        <w:t xml:space="preserve"> however certain</w:t>
      </w:r>
      <w:r w:rsidR="00D00C53" w:rsidRPr="000640FD">
        <w:rPr>
          <w:rFonts w:cs="Times New Roman"/>
        </w:rPr>
        <w:t xml:space="preserve"> </w:t>
      </w:r>
      <w:r w:rsidR="003B0DDD" w:rsidRPr="000640FD">
        <w:rPr>
          <w:rFonts w:cs="Times New Roman"/>
        </w:rPr>
        <w:t>instances</w:t>
      </w:r>
      <w:r w:rsidR="00D00C53" w:rsidRPr="000640FD">
        <w:rPr>
          <w:rFonts w:cs="Times New Roman"/>
        </w:rPr>
        <w:t xml:space="preserve"> </w:t>
      </w:r>
      <w:r w:rsidRPr="000640FD">
        <w:rPr>
          <w:rFonts w:cs="Times New Roman"/>
        </w:rPr>
        <w:t xml:space="preserve">in which an increase in </w:t>
      </w:r>
      <w:r w:rsidR="00D00C53" w:rsidRPr="000640FD">
        <w:rPr>
          <w:rFonts w:cs="Times New Roman"/>
        </w:rPr>
        <w:t xml:space="preserve">competition could </w:t>
      </w:r>
      <w:r w:rsidRPr="000640FD">
        <w:rPr>
          <w:rFonts w:cs="Times New Roman"/>
        </w:rPr>
        <w:t xml:space="preserve">be </w:t>
      </w:r>
      <w:r w:rsidR="008A2C8A" w:rsidRPr="000640FD">
        <w:rPr>
          <w:rFonts w:cs="Times New Roman"/>
        </w:rPr>
        <w:t>detrimental</w:t>
      </w:r>
      <w:r w:rsidRPr="000640FD">
        <w:rPr>
          <w:rFonts w:cs="Times New Roman"/>
        </w:rPr>
        <w:t xml:space="preserve"> to </w:t>
      </w:r>
      <w:r w:rsidR="008A2C8A" w:rsidRPr="000640FD">
        <w:rPr>
          <w:rFonts w:cs="Times New Roman"/>
        </w:rPr>
        <w:t xml:space="preserve">achieving </w:t>
      </w:r>
      <w:r w:rsidRPr="000640FD">
        <w:rPr>
          <w:rFonts w:cs="Times New Roman"/>
        </w:rPr>
        <w:t xml:space="preserve">the </w:t>
      </w:r>
      <w:r w:rsidR="000E6201" w:rsidRPr="000640FD">
        <w:rPr>
          <w:rFonts w:cs="Times New Roman"/>
        </w:rPr>
        <w:t>above-mentioned</w:t>
      </w:r>
      <w:r w:rsidRPr="000640FD">
        <w:rPr>
          <w:rFonts w:cs="Times New Roman"/>
        </w:rPr>
        <w:t xml:space="preserve"> </w:t>
      </w:r>
      <w:r w:rsidR="008A2C8A" w:rsidRPr="000640FD">
        <w:rPr>
          <w:rFonts w:cs="Times New Roman"/>
        </w:rPr>
        <w:t>objectives</w:t>
      </w:r>
      <w:r w:rsidR="00D00C53" w:rsidRPr="000640FD">
        <w:rPr>
          <w:rFonts w:cs="Times New Roman"/>
        </w:rPr>
        <w:t>.</w:t>
      </w:r>
      <w:r w:rsidR="00876DFB">
        <w:rPr>
          <w:rStyle w:val="FootnoteReference"/>
          <w:rFonts w:cs="Times New Roman"/>
        </w:rPr>
        <w:footnoteReference w:id="6"/>
      </w:r>
      <w:r w:rsidR="00D00C53" w:rsidRPr="000640FD">
        <w:rPr>
          <w:rFonts w:cs="Times New Roman"/>
        </w:rPr>
        <w:t xml:space="preserve"> </w:t>
      </w:r>
      <w:r w:rsidR="003B0DDD" w:rsidRPr="000640FD">
        <w:rPr>
          <w:rFonts w:cs="Times New Roman"/>
        </w:rPr>
        <w:t>In order t</w:t>
      </w:r>
      <w:r w:rsidR="008A2C8A" w:rsidRPr="000640FD">
        <w:rPr>
          <w:rFonts w:cs="Times New Roman"/>
        </w:rPr>
        <w:t>o control for these instances the efficiency defence was included in the Competition Act</w:t>
      </w:r>
      <w:r w:rsidR="00DA2299" w:rsidRPr="000640FD">
        <w:rPr>
          <w:rStyle w:val="FootnoteReference"/>
          <w:rFonts w:cs="Times New Roman"/>
        </w:rPr>
        <w:footnoteReference w:id="7"/>
      </w:r>
      <w:r w:rsidR="008A2C8A" w:rsidRPr="000640FD">
        <w:rPr>
          <w:rFonts w:cs="Times New Roman"/>
        </w:rPr>
        <w:t xml:space="preserve"> to </w:t>
      </w:r>
      <w:r w:rsidR="00343134" w:rsidRPr="000640FD">
        <w:rPr>
          <w:rFonts w:cs="Times New Roman"/>
        </w:rPr>
        <w:t>allow</w:t>
      </w:r>
      <w:r w:rsidR="00DA2299" w:rsidRPr="000640FD">
        <w:rPr>
          <w:rFonts w:cs="Times New Roman"/>
        </w:rPr>
        <w:t xml:space="preserve"> </w:t>
      </w:r>
      <w:r w:rsidR="00343134" w:rsidRPr="000640FD">
        <w:rPr>
          <w:rFonts w:cs="Times New Roman"/>
        </w:rPr>
        <w:t>for greater flexibility with regard to the interpretation and application of this Act</w:t>
      </w:r>
      <w:r w:rsidR="008A2C8A" w:rsidRPr="000640FD">
        <w:rPr>
          <w:rFonts w:cs="Times New Roman"/>
        </w:rPr>
        <w:t>.</w:t>
      </w:r>
      <w:r w:rsidR="008A2C8A" w:rsidRPr="000640FD">
        <w:rPr>
          <w:rStyle w:val="FootnoteReference"/>
          <w:rFonts w:cs="Times New Roman"/>
        </w:rPr>
        <w:footnoteReference w:id="8"/>
      </w:r>
      <w:r w:rsidR="006F39BB" w:rsidRPr="000640FD">
        <w:rPr>
          <w:rFonts w:cs="Times New Roman"/>
        </w:rPr>
        <w:t xml:space="preserve"> </w:t>
      </w:r>
    </w:p>
    <w:p w:rsidR="00895F75" w:rsidRPr="000640FD" w:rsidRDefault="00895F75" w:rsidP="00B33627">
      <w:pPr>
        <w:contextualSpacing/>
        <w:jc w:val="both"/>
        <w:rPr>
          <w:rFonts w:cs="Times New Roman"/>
        </w:rPr>
      </w:pPr>
    </w:p>
    <w:p w:rsidR="00007F7C" w:rsidRPr="000640FD" w:rsidRDefault="00343134" w:rsidP="00B33627">
      <w:pPr>
        <w:contextualSpacing/>
        <w:jc w:val="both"/>
        <w:rPr>
          <w:rFonts w:cs="Times New Roman"/>
        </w:rPr>
      </w:pPr>
      <w:r w:rsidRPr="000640FD">
        <w:rPr>
          <w:rFonts w:cs="Times New Roman"/>
        </w:rPr>
        <w:t>The efficiency defence</w:t>
      </w:r>
      <w:r w:rsidR="00EF3F34">
        <w:rPr>
          <w:rStyle w:val="FootnoteReference"/>
          <w:rFonts w:cs="Times New Roman"/>
        </w:rPr>
        <w:footnoteReference w:id="9"/>
      </w:r>
      <w:r w:rsidRPr="000640FD">
        <w:rPr>
          <w:rFonts w:cs="Times New Roman"/>
        </w:rPr>
        <w:t xml:space="preserve"> is a legal </w:t>
      </w:r>
      <w:r w:rsidR="00876DFB" w:rsidRPr="000640FD">
        <w:rPr>
          <w:rFonts w:cs="Times New Roman"/>
        </w:rPr>
        <w:t>defence that</w:t>
      </w:r>
      <w:r w:rsidRPr="000640FD">
        <w:rPr>
          <w:rFonts w:cs="Times New Roman"/>
        </w:rPr>
        <w:t xml:space="preserve"> can be raised by a contravening firm in which th</w:t>
      </w:r>
      <w:r w:rsidR="007309DC" w:rsidRPr="000640FD">
        <w:rPr>
          <w:rFonts w:cs="Times New Roman"/>
        </w:rPr>
        <w:t>at</w:t>
      </w:r>
      <w:r w:rsidRPr="000640FD">
        <w:rPr>
          <w:rFonts w:cs="Times New Roman"/>
        </w:rPr>
        <w:t xml:space="preserve"> </w:t>
      </w:r>
      <w:r w:rsidR="007309DC" w:rsidRPr="000640FD">
        <w:rPr>
          <w:rFonts w:cs="Times New Roman"/>
        </w:rPr>
        <w:t xml:space="preserve">contravening </w:t>
      </w:r>
      <w:r w:rsidRPr="000640FD">
        <w:rPr>
          <w:rFonts w:cs="Times New Roman"/>
        </w:rPr>
        <w:t>firm can argue that even though its conduct is prohibited by the Competition Act</w:t>
      </w:r>
      <w:r w:rsidR="00AF57B4" w:rsidRPr="000640FD">
        <w:rPr>
          <w:rFonts w:cs="Times New Roman"/>
        </w:rPr>
        <w:t>,</w:t>
      </w:r>
      <w:r w:rsidRPr="000640FD">
        <w:rPr>
          <w:rStyle w:val="FootnoteReference"/>
          <w:rFonts w:cs="Times New Roman"/>
        </w:rPr>
        <w:footnoteReference w:id="10"/>
      </w:r>
      <w:r w:rsidR="007309DC" w:rsidRPr="000640FD">
        <w:rPr>
          <w:rFonts w:cs="Times New Roman"/>
        </w:rPr>
        <w:t xml:space="preserve"> </w:t>
      </w:r>
      <w:r w:rsidR="00AF57B4" w:rsidRPr="000640FD">
        <w:rPr>
          <w:rFonts w:cs="Times New Roman"/>
        </w:rPr>
        <w:t xml:space="preserve">that </w:t>
      </w:r>
      <w:r w:rsidR="007309DC" w:rsidRPr="000640FD">
        <w:rPr>
          <w:rFonts w:cs="Times New Roman"/>
        </w:rPr>
        <w:t xml:space="preserve">the </w:t>
      </w:r>
      <w:r w:rsidR="00876DFB">
        <w:rPr>
          <w:rFonts w:cs="Times New Roman"/>
        </w:rPr>
        <w:t xml:space="preserve">potential </w:t>
      </w:r>
      <w:r w:rsidR="00AF57B4" w:rsidRPr="000640FD">
        <w:rPr>
          <w:rFonts w:cs="Times New Roman"/>
        </w:rPr>
        <w:t xml:space="preserve">pro-competitive </w:t>
      </w:r>
      <w:r w:rsidR="00876DFB">
        <w:rPr>
          <w:rFonts w:cs="Times New Roman"/>
        </w:rPr>
        <w:t>e</w:t>
      </w:r>
      <w:r w:rsidR="00876DFB" w:rsidRPr="000640FD">
        <w:rPr>
          <w:rFonts w:cs="Times New Roman"/>
        </w:rPr>
        <w:t>ffects</w:t>
      </w:r>
      <w:r w:rsidR="007309DC" w:rsidRPr="000640FD">
        <w:rPr>
          <w:rFonts w:cs="Times New Roman"/>
        </w:rPr>
        <w:t xml:space="preserve"> of </w:t>
      </w:r>
      <w:r w:rsidR="00AF57B4" w:rsidRPr="000640FD">
        <w:rPr>
          <w:rFonts w:cs="Times New Roman"/>
        </w:rPr>
        <w:t>its conduct</w:t>
      </w:r>
      <w:r w:rsidR="007309DC" w:rsidRPr="000640FD">
        <w:rPr>
          <w:rFonts w:cs="Times New Roman"/>
        </w:rPr>
        <w:t xml:space="preserve"> </w:t>
      </w:r>
      <w:r w:rsidR="00AF57B4" w:rsidRPr="000640FD">
        <w:rPr>
          <w:rFonts w:cs="Times New Roman"/>
        </w:rPr>
        <w:t xml:space="preserve">outweighs the </w:t>
      </w:r>
      <w:r w:rsidR="00876DFB">
        <w:rPr>
          <w:rFonts w:cs="Times New Roman"/>
        </w:rPr>
        <w:t xml:space="preserve">potential </w:t>
      </w:r>
      <w:r w:rsidR="00AF57B4" w:rsidRPr="000640FD">
        <w:rPr>
          <w:rFonts w:cs="Times New Roman"/>
        </w:rPr>
        <w:t xml:space="preserve">anti-competitive </w:t>
      </w:r>
      <w:r w:rsidR="0025417C" w:rsidRPr="000640FD">
        <w:rPr>
          <w:rFonts w:cs="Times New Roman"/>
        </w:rPr>
        <w:t>effects</w:t>
      </w:r>
      <w:r w:rsidR="00AF57B4" w:rsidRPr="000640FD">
        <w:rPr>
          <w:rFonts w:cs="Times New Roman"/>
        </w:rPr>
        <w:t xml:space="preserve"> thereof. The competition authorities </w:t>
      </w:r>
      <w:r w:rsidR="00895F75" w:rsidRPr="000640FD">
        <w:rPr>
          <w:rFonts w:cs="Times New Roman"/>
        </w:rPr>
        <w:t xml:space="preserve">are then obligated to </w:t>
      </w:r>
      <w:r w:rsidR="00AF57B4" w:rsidRPr="000640FD">
        <w:rPr>
          <w:rFonts w:cs="Times New Roman"/>
        </w:rPr>
        <w:t xml:space="preserve">balance this efficiency defence against the potential anti-competitive </w:t>
      </w:r>
      <w:r w:rsidR="0025417C" w:rsidRPr="000640FD">
        <w:rPr>
          <w:rFonts w:cs="Times New Roman"/>
        </w:rPr>
        <w:t>effects</w:t>
      </w:r>
      <w:r w:rsidR="00895F75" w:rsidRPr="000640FD">
        <w:rPr>
          <w:rFonts w:cs="Times New Roman"/>
        </w:rPr>
        <w:t xml:space="preserve"> of the relevant conduct</w:t>
      </w:r>
      <w:r w:rsidR="00AF57B4" w:rsidRPr="000640FD">
        <w:rPr>
          <w:rFonts w:cs="Times New Roman"/>
        </w:rPr>
        <w:t xml:space="preserve">. If the efficiency defence outweighs the anti-competitive </w:t>
      </w:r>
      <w:r w:rsidR="0025417C" w:rsidRPr="000640FD">
        <w:rPr>
          <w:rFonts w:cs="Times New Roman"/>
        </w:rPr>
        <w:t>effects</w:t>
      </w:r>
      <w:r w:rsidR="00AF57B4" w:rsidRPr="000640FD">
        <w:rPr>
          <w:rFonts w:cs="Times New Roman"/>
        </w:rPr>
        <w:t xml:space="preserve"> </w:t>
      </w:r>
      <w:r w:rsidR="00895F75" w:rsidRPr="000640FD">
        <w:rPr>
          <w:rFonts w:cs="Times New Roman"/>
        </w:rPr>
        <w:t>of that</w:t>
      </w:r>
      <w:r w:rsidR="00AF57B4" w:rsidRPr="000640FD">
        <w:rPr>
          <w:rFonts w:cs="Times New Roman"/>
        </w:rPr>
        <w:t xml:space="preserve"> specific conduct</w:t>
      </w:r>
      <w:r w:rsidR="00895F75" w:rsidRPr="000640FD">
        <w:rPr>
          <w:rFonts w:cs="Times New Roman"/>
        </w:rPr>
        <w:t xml:space="preserve">, </w:t>
      </w:r>
      <w:r w:rsidR="00EF3F34" w:rsidRPr="000640FD">
        <w:rPr>
          <w:rFonts w:cs="Times New Roman"/>
        </w:rPr>
        <w:t>the competition authorities despite the anti-competitive nature thereof will permit that conduct</w:t>
      </w:r>
      <w:r w:rsidR="00895F75" w:rsidRPr="000640FD">
        <w:rPr>
          <w:rFonts w:cs="Times New Roman"/>
        </w:rPr>
        <w:t>.</w:t>
      </w:r>
      <w:r w:rsidR="006C498E" w:rsidRPr="000640FD">
        <w:rPr>
          <w:rStyle w:val="FootnoteReference"/>
          <w:rFonts w:cs="Times New Roman"/>
        </w:rPr>
        <w:footnoteReference w:id="11"/>
      </w:r>
      <w:r w:rsidR="006C498E" w:rsidRPr="000640FD">
        <w:rPr>
          <w:rFonts w:cs="Times New Roman"/>
        </w:rPr>
        <w:t xml:space="preserve"> </w:t>
      </w:r>
    </w:p>
    <w:p w:rsidR="003B0DDD" w:rsidRPr="000640FD" w:rsidRDefault="003B0DDD" w:rsidP="00B33627">
      <w:pPr>
        <w:contextualSpacing/>
        <w:jc w:val="both"/>
        <w:rPr>
          <w:rFonts w:cs="Times New Roman"/>
        </w:rPr>
      </w:pPr>
    </w:p>
    <w:p w:rsidR="00007F7C" w:rsidRPr="000640FD" w:rsidRDefault="008A2C8A" w:rsidP="00B33627">
      <w:pPr>
        <w:contextualSpacing/>
        <w:jc w:val="both"/>
        <w:rPr>
          <w:rFonts w:cs="Times New Roman"/>
        </w:rPr>
      </w:pPr>
      <w:r w:rsidRPr="000640FD">
        <w:rPr>
          <w:rFonts w:cs="Times New Roman"/>
        </w:rPr>
        <w:lastRenderedPageBreak/>
        <w:t xml:space="preserve">The academic and practical reason for this paper is thus to </w:t>
      </w:r>
      <w:r w:rsidR="00602ADD" w:rsidRPr="000640FD">
        <w:rPr>
          <w:rFonts w:cs="Times New Roman"/>
        </w:rPr>
        <w:t>contribute to</w:t>
      </w:r>
      <w:r w:rsidRPr="000640FD">
        <w:rPr>
          <w:rFonts w:cs="Times New Roman"/>
        </w:rPr>
        <w:t xml:space="preserve"> this </w:t>
      </w:r>
      <w:r w:rsidR="00D963EE" w:rsidRPr="000640FD">
        <w:rPr>
          <w:rFonts w:cs="Times New Roman"/>
        </w:rPr>
        <w:t>A</w:t>
      </w:r>
      <w:r w:rsidRPr="000640FD">
        <w:rPr>
          <w:rFonts w:cs="Times New Roman"/>
        </w:rPr>
        <w:t>ct</w:t>
      </w:r>
      <w:r w:rsidR="00D963EE" w:rsidRPr="000640FD">
        <w:rPr>
          <w:rStyle w:val="FootnoteReference"/>
          <w:rFonts w:cs="Times New Roman"/>
        </w:rPr>
        <w:footnoteReference w:id="12"/>
      </w:r>
      <w:r w:rsidRPr="000640FD">
        <w:rPr>
          <w:rFonts w:cs="Times New Roman"/>
        </w:rPr>
        <w:t xml:space="preserve"> achiev</w:t>
      </w:r>
      <w:r w:rsidR="00602ADD" w:rsidRPr="000640FD">
        <w:rPr>
          <w:rFonts w:cs="Times New Roman"/>
        </w:rPr>
        <w:t>ing</w:t>
      </w:r>
      <w:r w:rsidRPr="000640FD">
        <w:rPr>
          <w:rFonts w:cs="Times New Roman"/>
        </w:rPr>
        <w:t xml:space="preserve"> its purpose </w:t>
      </w:r>
      <w:r w:rsidR="00602ADD" w:rsidRPr="000640FD">
        <w:rPr>
          <w:rFonts w:cs="Times New Roman"/>
        </w:rPr>
        <w:t>and hence</w:t>
      </w:r>
      <w:r w:rsidRPr="000640FD">
        <w:rPr>
          <w:rFonts w:cs="Times New Roman"/>
        </w:rPr>
        <w:t xml:space="preserve"> </w:t>
      </w:r>
      <w:r w:rsidR="00602ADD" w:rsidRPr="000640FD">
        <w:rPr>
          <w:rFonts w:cs="Times New Roman"/>
        </w:rPr>
        <w:t xml:space="preserve">also </w:t>
      </w:r>
      <w:r w:rsidRPr="000640FD">
        <w:rPr>
          <w:rFonts w:cs="Times New Roman"/>
        </w:rPr>
        <w:t xml:space="preserve">the </w:t>
      </w:r>
      <w:r w:rsidR="00AE6F68" w:rsidRPr="000640FD">
        <w:rPr>
          <w:rFonts w:cs="Times New Roman"/>
        </w:rPr>
        <w:t>above-mentioned</w:t>
      </w:r>
      <w:r w:rsidR="00602ADD" w:rsidRPr="000640FD">
        <w:rPr>
          <w:rFonts w:cs="Times New Roman"/>
        </w:rPr>
        <w:t xml:space="preserve"> </w:t>
      </w:r>
      <w:r w:rsidRPr="000640FD">
        <w:rPr>
          <w:rFonts w:cs="Times New Roman"/>
        </w:rPr>
        <w:t xml:space="preserve">objectives. </w:t>
      </w:r>
      <w:r w:rsidR="00602ADD" w:rsidRPr="000640FD">
        <w:rPr>
          <w:rFonts w:cs="Times New Roman"/>
        </w:rPr>
        <w:t xml:space="preserve">This </w:t>
      </w:r>
      <w:r w:rsidRPr="000640FD">
        <w:rPr>
          <w:rFonts w:cs="Times New Roman"/>
        </w:rPr>
        <w:t>Act</w:t>
      </w:r>
      <w:r w:rsidR="00602ADD" w:rsidRPr="000640FD">
        <w:rPr>
          <w:rStyle w:val="FootnoteReference"/>
          <w:rFonts w:cs="Times New Roman"/>
        </w:rPr>
        <w:footnoteReference w:id="13"/>
      </w:r>
      <w:r w:rsidRPr="000640FD">
        <w:rPr>
          <w:rFonts w:cs="Times New Roman"/>
        </w:rPr>
        <w:t xml:space="preserve"> is still </w:t>
      </w:r>
      <w:r w:rsidR="00602ADD" w:rsidRPr="000640FD">
        <w:rPr>
          <w:rFonts w:cs="Times New Roman"/>
        </w:rPr>
        <w:t>in its infancy</w:t>
      </w:r>
      <w:r w:rsidRPr="000640FD">
        <w:rPr>
          <w:rFonts w:cs="Times New Roman"/>
        </w:rPr>
        <w:t xml:space="preserve"> and</w:t>
      </w:r>
      <w:r w:rsidR="00602ADD" w:rsidRPr="000640FD">
        <w:rPr>
          <w:rFonts w:cs="Times New Roman"/>
        </w:rPr>
        <w:t xml:space="preserve"> therefore </w:t>
      </w:r>
      <w:r w:rsidRPr="000640FD">
        <w:rPr>
          <w:rFonts w:cs="Times New Roman"/>
        </w:rPr>
        <w:t xml:space="preserve">there are a number of grey areas with regard to its interpretation and application. One </w:t>
      </w:r>
      <w:r w:rsidR="0060145C" w:rsidRPr="000640FD">
        <w:rPr>
          <w:rFonts w:cs="Times New Roman"/>
        </w:rPr>
        <w:t xml:space="preserve">of these </w:t>
      </w:r>
      <w:r w:rsidRPr="000640FD">
        <w:rPr>
          <w:rFonts w:cs="Times New Roman"/>
        </w:rPr>
        <w:t>area</w:t>
      </w:r>
      <w:r w:rsidR="0060145C" w:rsidRPr="000640FD">
        <w:rPr>
          <w:rFonts w:cs="Times New Roman"/>
        </w:rPr>
        <w:t>s of uncertainty is the area pertaining to the</w:t>
      </w:r>
      <w:r w:rsidRPr="000640FD">
        <w:rPr>
          <w:rFonts w:cs="Times New Roman"/>
        </w:rPr>
        <w:t xml:space="preserve"> efficiency defence. This paper will thus contribute to </w:t>
      </w:r>
      <w:r w:rsidR="0060145C" w:rsidRPr="000640FD">
        <w:rPr>
          <w:rFonts w:cs="Times New Roman"/>
        </w:rPr>
        <w:t xml:space="preserve">the </w:t>
      </w:r>
      <w:r w:rsidRPr="000640FD">
        <w:rPr>
          <w:rFonts w:cs="Times New Roman"/>
        </w:rPr>
        <w:t>legal certainty</w:t>
      </w:r>
      <w:r w:rsidR="003B39AA" w:rsidRPr="000640FD">
        <w:rPr>
          <w:rFonts w:cs="Times New Roman"/>
        </w:rPr>
        <w:t xml:space="preserve"> pertaining</w:t>
      </w:r>
      <w:r w:rsidRPr="000640FD">
        <w:rPr>
          <w:rFonts w:cs="Times New Roman"/>
        </w:rPr>
        <w:t xml:space="preserve"> </w:t>
      </w:r>
      <w:r w:rsidR="003B39AA" w:rsidRPr="000640FD">
        <w:rPr>
          <w:rFonts w:cs="Times New Roman"/>
        </w:rPr>
        <w:t xml:space="preserve">to </w:t>
      </w:r>
      <w:r w:rsidRPr="000640FD">
        <w:rPr>
          <w:rFonts w:cs="Times New Roman"/>
        </w:rPr>
        <w:t>the interpretation and application of the efficiency defence in South African competition matters.</w:t>
      </w:r>
    </w:p>
    <w:p w:rsidR="003B39AA" w:rsidRPr="000640FD" w:rsidRDefault="003B39AA" w:rsidP="00B33627">
      <w:pPr>
        <w:contextualSpacing/>
        <w:jc w:val="both"/>
        <w:rPr>
          <w:rFonts w:cs="Times New Roman"/>
        </w:rPr>
      </w:pPr>
    </w:p>
    <w:p w:rsidR="008632C7" w:rsidRPr="000640FD" w:rsidRDefault="002E7196" w:rsidP="00811405">
      <w:pPr>
        <w:contextualSpacing/>
        <w:jc w:val="center"/>
        <w:rPr>
          <w:rFonts w:cs="Times New Roman"/>
        </w:rPr>
      </w:pPr>
      <w:r w:rsidRPr="000640FD">
        <w:rPr>
          <w:rFonts w:cs="Times New Roman"/>
          <w:b/>
          <w:bCs/>
        </w:rPr>
        <w:t xml:space="preserve">3. Outline of </w:t>
      </w:r>
      <w:r w:rsidR="004442EA">
        <w:rPr>
          <w:rFonts w:cs="Times New Roman"/>
          <w:b/>
          <w:bCs/>
        </w:rPr>
        <w:t xml:space="preserve">the </w:t>
      </w:r>
      <w:r w:rsidRPr="000640FD">
        <w:rPr>
          <w:rFonts w:cs="Times New Roman"/>
          <w:b/>
          <w:bCs/>
        </w:rPr>
        <w:t>research topic and key questions to be answered</w:t>
      </w:r>
    </w:p>
    <w:p w:rsidR="00781085" w:rsidRPr="000640FD" w:rsidRDefault="00781085" w:rsidP="00B33627">
      <w:pPr>
        <w:contextualSpacing/>
        <w:jc w:val="both"/>
        <w:rPr>
          <w:rFonts w:cs="Times New Roman"/>
        </w:rPr>
      </w:pPr>
    </w:p>
    <w:p w:rsidR="008632C7" w:rsidRPr="000640FD" w:rsidRDefault="00646E57" w:rsidP="00B33627">
      <w:pPr>
        <w:contextualSpacing/>
        <w:jc w:val="both"/>
        <w:rPr>
          <w:rFonts w:cs="Times New Roman"/>
        </w:rPr>
      </w:pPr>
      <w:r w:rsidRPr="000640FD">
        <w:rPr>
          <w:rFonts w:cs="Times New Roman"/>
        </w:rPr>
        <w:t xml:space="preserve">This paper is going to determine how the efficiency defence is interpreted and applied </w:t>
      </w:r>
      <w:r w:rsidR="001D0F01" w:rsidRPr="000640FD">
        <w:rPr>
          <w:rFonts w:cs="Times New Roman"/>
        </w:rPr>
        <w:t>by the</w:t>
      </w:r>
      <w:r w:rsidRPr="000640FD">
        <w:rPr>
          <w:rFonts w:cs="Times New Roman"/>
        </w:rPr>
        <w:t xml:space="preserve"> South Africa</w:t>
      </w:r>
      <w:r w:rsidR="001D0F01" w:rsidRPr="000640FD">
        <w:rPr>
          <w:rFonts w:cs="Times New Roman"/>
        </w:rPr>
        <w:t>n competition authorities</w:t>
      </w:r>
      <w:r w:rsidRPr="000640FD">
        <w:rPr>
          <w:rFonts w:cs="Times New Roman"/>
        </w:rPr>
        <w:t>. This paper will then determine how the efficiency defence is interpreted and applied by the competition authorities of the United States of America, the European Union and Canada. This paper will then compare the interpretation and application of the efficiency defence in South Africa with its interpretation and application in the United States of America, the European Union and Canada</w:t>
      </w:r>
      <w:r w:rsidR="001D0F01" w:rsidRPr="000640FD">
        <w:rPr>
          <w:rFonts w:cs="Times New Roman"/>
        </w:rPr>
        <w:t>. Based on this comparison</w:t>
      </w:r>
      <w:r w:rsidR="009F5D4E" w:rsidRPr="000640FD">
        <w:rPr>
          <w:rFonts w:cs="Times New Roman"/>
        </w:rPr>
        <w:t>,</w:t>
      </w:r>
      <w:r w:rsidR="001D0F01" w:rsidRPr="000640FD">
        <w:rPr>
          <w:rFonts w:cs="Times New Roman"/>
        </w:rPr>
        <w:t xml:space="preserve"> this paper will</w:t>
      </w:r>
      <w:r w:rsidRPr="000640FD">
        <w:rPr>
          <w:rFonts w:cs="Times New Roman"/>
        </w:rPr>
        <w:t xml:space="preserve"> make</w:t>
      </w:r>
      <w:r w:rsidR="001D0F01" w:rsidRPr="000640FD">
        <w:rPr>
          <w:rFonts w:cs="Times New Roman"/>
        </w:rPr>
        <w:t xml:space="preserve"> certain </w:t>
      </w:r>
      <w:r w:rsidRPr="000640FD">
        <w:rPr>
          <w:rFonts w:cs="Times New Roman"/>
        </w:rPr>
        <w:t>recommendations on how</w:t>
      </w:r>
      <w:r w:rsidR="001D0F01" w:rsidRPr="000640FD">
        <w:rPr>
          <w:rFonts w:cs="Times New Roman"/>
        </w:rPr>
        <w:t xml:space="preserve"> the</w:t>
      </w:r>
      <w:r w:rsidRPr="000640FD">
        <w:rPr>
          <w:rFonts w:cs="Times New Roman"/>
        </w:rPr>
        <w:t xml:space="preserve"> South Africa</w:t>
      </w:r>
      <w:r w:rsidR="001D0F01" w:rsidRPr="000640FD">
        <w:rPr>
          <w:rFonts w:cs="Times New Roman"/>
        </w:rPr>
        <w:t>n</w:t>
      </w:r>
      <w:r w:rsidRPr="000640FD">
        <w:rPr>
          <w:rFonts w:cs="Times New Roman"/>
        </w:rPr>
        <w:t xml:space="preserve"> </w:t>
      </w:r>
      <w:r w:rsidR="001D0F01" w:rsidRPr="000640FD">
        <w:rPr>
          <w:rFonts w:cs="Times New Roman"/>
        </w:rPr>
        <w:t>competition authorities should</w:t>
      </w:r>
      <w:r w:rsidRPr="000640FD">
        <w:rPr>
          <w:rFonts w:cs="Times New Roman"/>
        </w:rPr>
        <w:t xml:space="preserve"> </w:t>
      </w:r>
      <w:r w:rsidR="001D0F01" w:rsidRPr="000640FD">
        <w:rPr>
          <w:rFonts w:cs="Times New Roman"/>
        </w:rPr>
        <w:t>amend</w:t>
      </w:r>
      <w:r w:rsidR="00B612CA" w:rsidRPr="000640FD">
        <w:rPr>
          <w:rFonts w:cs="Times New Roman"/>
        </w:rPr>
        <w:t>, if any,</w:t>
      </w:r>
      <w:r w:rsidRPr="000640FD">
        <w:rPr>
          <w:rFonts w:cs="Times New Roman"/>
        </w:rPr>
        <w:t xml:space="preserve"> </w:t>
      </w:r>
      <w:r w:rsidR="001D0F01" w:rsidRPr="000640FD">
        <w:rPr>
          <w:rFonts w:cs="Times New Roman"/>
        </w:rPr>
        <w:t>their</w:t>
      </w:r>
      <w:r w:rsidRPr="000640FD">
        <w:rPr>
          <w:rFonts w:cs="Times New Roman"/>
        </w:rPr>
        <w:t xml:space="preserve"> polic</w:t>
      </w:r>
      <w:r w:rsidR="001D0F01" w:rsidRPr="000640FD">
        <w:rPr>
          <w:rFonts w:cs="Times New Roman"/>
        </w:rPr>
        <w:t>ies</w:t>
      </w:r>
      <w:r w:rsidRPr="000640FD">
        <w:rPr>
          <w:rFonts w:cs="Times New Roman"/>
        </w:rPr>
        <w:t xml:space="preserve"> with regard to the interpretation and application</w:t>
      </w:r>
      <w:r w:rsidR="001D0F01" w:rsidRPr="000640FD">
        <w:rPr>
          <w:rFonts w:cs="Times New Roman"/>
        </w:rPr>
        <w:t xml:space="preserve"> of the efficiency defence in South African </w:t>
      </w:r>
      <w:r w:rsidR="00B612CA" w:rsidRPr="000640FD">
        <w:rPr>
          <w:rFonts w:cs="Times New Roman"/>
        </w:rPr>
        <w:t>comp</w:t>
      </w:r>
      <w:r w:rsidR="001D0F01" w:rsidRPr="000640FD">
        <w:rPr>
          <w:rFonts w:cs="Times New Roman"/>
        </w:rPr>
        <w:t>e</w:t>
      </w:r>
      <w:r w:rsidR="00B612CA" w:rsidRPr="000640FD">
        <w:rPr>
          <w:rFonts w:cs="Times New Roman"/>
        </w:rPr>
        <w:t>ti</w:t>
      </w:r>
      <w:r w:rsidR="001D0F01" w:rsidRPr="000640FD">
        <w:rPr>
          <w:rFonts w:cs="Times New Roman"/>
        </w:rPr>
        <w:t>tion matters</w:t>
      </w:r>
      <w:r w:rsidR="004F1D7C" w:rsidRPr="000640FD">
        <w:rPr>
          <w:rFonts w:cs="Times New Roman"/>
        </w:rPr>
        <w:t xml:space="preserve"> in order to contribute to the attainment of the purpose and objectives of this Act.</w:t>
      </w:r>
      <w:r w:rsidR="004F1D7C" w:rsidRPr="000640FD">
        <w:rPr>
          <w:rStyle w:val="FootnoteReference"/>
          <w:rFonts w:cs="Times New Roman"/>
        </w:rPr>
        <w:footnoteReference w:id="14"/>
      </w:r>
    </w:p>
    <w:p w:rsidR="00781085" w:rsidRPr="000640FD" w:rsidRDefault="00781085" w:rsidP="00B33627">
      <w:pPr>
        <w:contextualSpacing/>
        <w:jc w:val="both"/>
        <w:rPr>
          <w:rFonts w:cs="Times New Roman"/>
        </w:rPr>
      </w:pPr>
    </w:p>
    <w:p w:rsidR="008339B0" w:rsidRPr="000640FD" w:rsidRDefault="00E501D9" w:rsidP="00B33627">
      <w:pPr>
        <w:contextualSpacing/>
        <w:jc w:val="both"/>
        <w:rPr>
          <w:rFonts w:cs="Times New Roman"/>
        </w:rPr>
      </w:pPr>
      <w:r w:rsidRPr="000640FD">
        <w:rPr>
          <w:rFonts w:cs="Times New Roman"/>
        </w:rPr>
        <w:t xml:space="preserve">The </w:t>
      </w:r>
      <w:r w:rsidR="00DF3A99" w:rsidRPr="000640FD">
        <w:rPr>
          <w:rFonts w:cs="Times New Roman"/>
        </w:rPr>
        <w:t xml:space="preserve">most important </w:t>
      </w:r>
      <w:r w:rsidRPr="000640FD">
        <w:rPr>
          <w:rFonts w:cs="Times New Roman"/>
        </w:rPr>
        <w:t>legal principles of the Competition Act</w:t>
      </w:r>
      <w:r w:rsidRPr="000640FD">
        <w:rPr>
          <w:rStyle w:val="FootnoteReference"/>
          <w:rFonts w:cs="Times New Roman"/>
        </w:rPr>
        <w:footnoteReference w:id="15"/>
      </w:r>
      <w:r w:rsidRPr="000640FD">
        <w:rPr>
          <w:rFonts w:cs="Times New Roman"/>
        </w:rPr>
        <w:t xml:space="preserve"> </w:t>
      </w:r>
      <w:r w:rsidR="0081611A" w:rsidRPr="000640FD">
        <w:rPr>
          <w:rFonts w:cs="Times New Roman"/>
        </w:rPr>
        <w:t>that are</w:t>
      </w:r>
      <w:r w:rsidRPr="000640FD">
        <w:rPr>
          <w:rFonts w:cs="Times New Roman"/>
        </w:rPr>
        <w:t xml:space="preserve"> relevant for this study </w:t>
      </w:r>
      <w:r w:rsidR="00DF3A99" w:rsidRPr="000640FD">
        <w:rPr>
          <w:rFonts w:cs="Times New Roman"/>
        </w:rPr>
        <w:t xml:space="preserve">pertains to the prohibitions contained </w:t>
      </w:r>
      <w:r w:rsidR="0049248F">
        <w:rPr>
          <w:rFonts w:cs="Times New Roman"/>
        </w:rPr>
        <w:t>within</w:t>
      </w:r>
      <w:r w:rsidR="00DF3A99" w:rsidRPr="000640FD">
        <w:rPr>
          <w:rFonts w:cs="Times New Roman"/>
        </w:rPr>
        <w:t xml:space="preserve"> the Competition Act</w:t>
      </w:r>
      <w:r w:rsidRPr="000640FD">
        <w:rPr>
          <w:rFonts w:cs="Times New Roman"/>
        </w:rPr>
        <w:t>.</w:t>
      </w:r>
      <w:r w:rsidR="00DF3A99" w:rsidRPr="000640FD">
        <w:rPr>
          <w:rStyle w:val="FootnoteReference"/>
          <w:rFonts w:cs="Times New Roman"/>
        </w:rPr>
        <w:footnoteReference w:id="16"/>
      </w:r>
      <w:r w:rsidRPr="000640FD">
        <w:rPr>
          <w:rFonts w:cs="Times New Roman"/>
        </w:rPr>
        <w:t xml:space="preserve"> Broadly speaking the Competition Act</w:t>
      </w:r>
      <w:r w:rsidRPr="000640FD">
        <w:rPr>
          <w:rStyle w:val="FootnoteReference"/>
          <w:rFonts w:cs="Times New Roman"/>
        </w:rPr>
        <w:footnoteReference w:id="17"/>
      </w:r>
      <w:r w:rsidRPr="000640FD">
        <w:rPr>
          <w:rFonts w:cs="Times New Roman"/>
        </w:rPr>
        <w:t xml:space="preserve"> contains 2</w:t>
      </w:r>
      <w:r w:rsidR="0081611A" w:rsidRPr="000640FD">
        <w:rPr>
          <w:rFonts w:cs="Times New Roman"/>
        </w:rPr>
        <w:t xml:space="preserve"> types of prohibitions.</w:t>
      </w:r>
      <w:r w:rsidR="00E04234" w:rsidRPr="000640FD">
        <w:rPr>
          <w:rStyle w:val="FootnoteReference"/>
          <w:rFonts w:cs="Times New Roman"/>
        </w:rPr>
        <w:footnoteReference w:id="18"/>
      </w:r>
      <w:r w:rsidR="0081611A" w:rsidRPr="000640FD">
        <w:rPr>
          <w:rFonts w:cs="Times New Roman"/>
        </w:rPr>
        <w:t xml:space="preserve"> Firstly, the Competition Act</w:t>
      </w:r>
      <w:r w:rsidR="0081611A" w:rsidRPr="000640FD">
        <w:rPr>
          <w:rStyle w:val="FootnoteReference"/>
          <w:rFonts w:cs="Times New Roman"/>
        </w:rPr>
        <w:footnoteReference w:id="19"/>
      </w:r>
      <w:r w:rsidR="0081611A" w:rsidRPr="000640FD">
        <w:rPr>
          <w:rFonts w:cs="Times New Roman"/>
        </w:rPr>
        <w:t xml:space="preserve">contains </w:t>
      </w:r>
      <w:r w:rsidR="0081611A" w:rsidRPr="000640FD">
        <w:rPr>
          <w:rFonts w:cs="Times New Roman"/>
          <w:i/>
        </w:rPr>
        <w:t>per se</w:t>
      </w:r>
      <w:r w:rsidR="0081611A" w:rsidRPr="000640FD">
        <w:rPr>
          <w:rFonts w:cs="Times New Roman"/>
        </w:rPr>
        <w:t xml:space="preserve"> prohibitions. These</w:t>
      </w:r>
      <w:r w:rsidR="007766D2" w:rsidRPr="000640FD">
        <w:rPr>
          <w:rFonts w:cs="Times New Roman"/>
        </w:rPr>
        <w:t xml:space="preserve"> </w:t>
      </w:r>
      <w:r w:rsidR="007766D2" w:rsidRPr="000640FD">
        <w:rPr>
          <w:rFonts w:cs="Times New Roman"/>
          <w:i/>
        </w:rPr>
        <w:t>per se</w:t>
      </w:r>
      <w:r w:rsidR="007766D2" w:rsidRPr="000640FD">
        <w:rPr>
          <w:rFonts w:cs="Times New Roman"/>
        </w:rPr>
        <w:t xml:space="preserve"> prohibitions</w:t>
      </w:r>
      <w:r w:rsidR="0081611A" w:rsidRPr="000640FD">
        <w:rPr>
          <w:rFonts w:cs="Times New Roman"/>
        </w:rPr>
        <w:t xml:space="preserve"> </w:t>
      </w:r>
      <w:r w:rsidR="007766D2" w:rsidRPr="000640FD">
        <w:rPr>
          <w:rFonts w:cs="Times New Roman"/>
        </w:rPr>
        <w:t xml:space="preserve">are </w:t>
      </w:r>
      <w:r w:rsidR="000C59DA" w:rsidRPr="000640FD">
        <w:rPr>
          <w:rFonts w:cs="Times New Roman"/>
        </w:rPr>
        <w:t xml:space="preserve">prohibitions for which there are no </w:t>
      </w:r>
      <w:r w:rsidR="007766D2" w:rsidRPr="000640FD">
        <w:rPr>
          <w:rFonts w:cs="Times New Roman"/>
        </w:rPr>
        <w:t>defence</w:t>
      </w:r>
      <w:r w:rsidR="000C59DA" w:rsidRPr="000640FD">
        <w:rPr>
          <w:rFonts w:cs="Times New Roman"/>
        </w:rPr>
        <w:t>s. This means that the efficiency defence, nor any other defence</w:t>
      </w:r>
      <w:r w:rsidR="009F5D4E" w:rsidRPr="000640FD">
        <w:rPr>
          <w:rFonts w:cs="Times New Roman"/>
        </w:rPr>
        <w:t xml:space="preserve"> for that matter</w:t>
      </w:r>
      <w:r w:rsidR="000C59DA" w:rsidRPr="000640FD">
        <w:rPr>
          <w:rFonts w:cs="Times New Roman"/>
        </w:rPr>
        <w:t xml:space="preserve">, cannot be raised as a defence in instances where a </w:t>
      </w:r>
      <w:r w:rsidR="000C59DA" w:rsidRPr="000640FD">
        <w:rPr>
          <w:rFonts w:cs="Times New Roman"/>
          <w:i/>
        </w:rPr>
        <w:t>per se</w:t>
      </w:r>
      <w:r w:rsidR="000C59DA" w:rsidRPr="000640FD">
        <w:rPr>
          <w:rFonts w:cs="Times New Roman"/>
        </w:rPr>
        <w:t xml:space="preserve"> prohibition w</w:t>
      </w:r>
      <w:r w:rsidR="00E04234" w:rsidRPr="000640FD">
        <w:rPr>
          <w:rFonts w:cs="Times New Roman"/>
        </w:rPr>
        <w:t>as</w:t>
      </w:r>
      <w:r w:rsidR="000C59DA" w:rsidRPr="000640FD">
        <w:rPr>
          <w:rFonts w:cs="Times New Roman"/>
        </w:rPr>
        <w:t xml:space="preserve"> contravened.</w:t>
      </w:r>
      <w:r w:rsidR="007766D2" w:rsidRPr="000640FD">
        <w:rPr>
          <w:rFonts w:cs="Times New Roman"/>
        </w:rPr>
        <w:t xml:space="preserve"> </w:t>
      </w:r>
    </w:p>
    <w:p w:rsidR="008339B0" w:rsidRPr="000640FD" w:rsidRDefault="008339B0" w:rsidP="00B33627">
      <w:pPr>
        <w:contextualSpacing/>
        <w:jc w:val="both"/>
        <w:rPr>
          <w:rFonts w:cs="Times New Roman"/>
        </w:rPr>
      </w:pPr>
    </w:p>
    <w:p w:rsidR="009F58DB" w:rsidRDefault="009F58DB" w:rsidP="00B33627">
      <w:pPr>
        <w:contextualSpacing/>
        <w:jc w:val="both"/>
        <w:rPr>
          <w:rFonts w:cs="Times New Roman"/>
        </w:rPr>
      </w:pPr>
    </w:p>
    <w:p w:rsidR="00D05B15" w:rsidRPr="000640FD" w:rsidRDefault="007766D2" w:rsidP="00B33627">
      <w:pPr>
        <w:contextualSpacing/>
        <w:jc w:val="both"/>
        <w:rPr>
          <w:rFonts w:cs="Times New Roman"/>
        </w:rPr>
      </w:pPr>
      <w:r w:rsidRPr="000640FD">
        <w:rPr>
          <w:rFonts w:cs="Times New Roman"/>
        </w:rPr>
        <w:lastRenderedPageBreak/>
        <w:t>The second type of prohibitions contained within the Competition Act</w:t>
      </w:r>
      <w:r w:rsidRPr="000640FD">
        <w:rPr>
          <w:rStyle w:val="FootnoteReference"/>
          <w:rFonts w:cs="Times New Roman"/>
        </w:rPr>
        <w:footnoteReference w:id="20"/>
      </w:r>
      <w:r w:rsidRPr="000640FD">
        <w:rPr>
          <w:rFonts w:cs="Times New Roman"/>
        </w:rPr>
        <w:t xml:space="preserve"> </w:t>
      </w:r>
      <w:r w:rsidR="0049248F">
        <w:rPr>
          <w:rFonts w:cs="Times New Roman"/>
        </w:rPr>
        <w:t>is</w:t>
      </w:r>
      <w:r w:rsidRPr="000640FD">
        <w:rPr>
          <w:rFonts w:cs="Times New Roman"/>
        </w:rPr>
        <w:t xml:space="preserve"> </w:t>
      </w:r>
      <w:r w:rsidR="0049248F">
        <w:rPr>
          <w:rFonts w:cs="Times New Roman"/>
        </w:rPr>
        <w:t xml:space="preserve">the </w:t>
      </w:r>
      <w:r w:rsidR="0049248F" w:rsidRPr="000640FD">
        <w:rPr>
          <w:rFonts w:cs="Times New Roman"/>
        </w:rPr>
        <w:t>so-called</w:t>
      </w:r>
      <w:r w:rsidRPr="000640FD">
        <w:rPr>
          <w:rFonts w:cs="Times New Roman"/>
        </w:rPr>
        <w:t xml:space="preserve"> rule of reason prohibitions</w:t>
      </w:r>
      <w:r w:rsidR="000C59DA" w:rsidRPr="000640FD">
        <w:rPr>
          <w:rFonts w:cs="Times New Roman"/>
        </w:rPr>
        <w:t>.</w:t>
      </w:r>
      <w:r w:rsidR="00082517" w:rsidRPr="000640FD">
        <w:rPr>
          <w:rStyle w:val="FootnoteReference"/>
          <w:rFonts w:cs="Times New Roman"/>
        </w:rPr>
        <w:footnoteReference w:id="21"/>
      </w:r>
      <w:r w:rsidRPr="000640FD">
        <w:rPr>
          <w:rFonts w:cs="Times New Roman"/>
        </w:rPr>
        <w:t xml:space="preserve"> </w:t>
      </w:r>
      <w:r w:rsidR="00E04234" w:rsidRPr="000640FD">
        <w:rPr>
          <w:rFonts w:cs="Times New Roman"/>
        </w:rPr>
        <w:t xml:space="preserve">The contravention of these prohibitions can be justified by </w:t>
      </w:r>
      <w:r w:rsidR="00E958BF" w:rsidRPr="000640FD">
        <w:rPr>
          <w:rFonts w:cs="Times New Roman"/>
        </w:rPr>
        <w:t xml:space="preserve">way of </w:t>
      </w:r>
      <w:r w:rsidR="00E04234" w:rsidRPr="000640FD">
        <w:rPr>
          <w:rFonts w:cs="Times New Roman"/>
        </w:rPr>
        <w:t>the efficiency defence.</w:t>
      </w:r>
      <w:r w:rsidR="009F5D4E" w:rsidRPr="000640FD">
        <w:rPr>
          <w:rFonts w:cs="Times New Roman"/>
        </w:rPr>
        <w:t xml:space="preserve"> This means that</w:t>
      </w:r>
      <w:r w:rsidR="00E04234" w:rsidRPr="000640FD">
        <w:rPr>
          <w:rFonts w:cs="Times New Roman"/>
        </w:rPr>
        <w:t xml:space="preserve"> </w:t>
      </w:r>
      <w:r w:rsidR="009F5D4E" w:rsidRPr="000640FD">
        <w:rPr>
          <w:rFonts w:cs="Times New Roman"/>
        </w:rPr>
        <w:t xml:space="preserve">in </w:t>
      </w:r>
      <w:r w:rsidR="00E04234" w:rsidRPr="000640FD">
        <w:rPr>
          <w:rFonts w:cs="Times New Roman"/>
        </w:rPr>
        <w:t>instance</w:t>
      </w:r>
      <w:r w:rsidR="009D37D4" w:rsidRPr="000640FD">
        <w:rPr>
          <w:rFonts w:cs="Times New Roman"/>
        </w:rPr>
        <w:t>s</w:t>
      </w:r>
      <w:r w:rsidR="00E04234" w:rsidRPr="000640FD">
        <w:rPr>
          <w:rFonts w:cs="Times New Roman"/>
        </w:rPr>
        <w:t xml:space="preserve"> where a rule of reason prohibition was contravened</w:t>
      </w:r>
      <w:r w:rsidR="0049248F">
        <w:rPr>
          <w:rFonts w:cs="Times New Roman"/>
        </w:rPr>
        <w:t>,</w:t>
      </w:r>
      <w:r w:rsidR="00E04234" w:rsidRPr="000640FD">
        <w:rPr>
          <w:rFonts w:cs="Times New Roman"/>
        </w:rPr>
        <w:t xml:space="preserve"> </w:t>
      </w:r>
      <w:r w:rsidR="00387F1D" w:rsidRPr="000640FD">
        <w:rPr>
          <w:rFonts w:cs="Times New Roman"/>
        </w:rPr>
        <w:t>the contravening party can raise the efficiency defence in order to justify th</w:t>
      </w:r>
      <w:r w:rsidR="0049248F">
        <w:rPr>
          <w:rFonts w:cs="Times New Roman"/>
        </w:rPr>
        <w:t>at</w:t>
      </w:r>
      <w:r w:rsidR="00387F1D" w:rsidRPr="000640FD">
        <w:rPr>
          <w:rFonts w:cs="Times New Roman"/>
        </w:rPr>
        <w:t xml:space="preserve"> specific conduct. When the</w:t>
      </w:r>
      <w:r w:rsidR="009F5D4E" w:rsidRPr="000640FD">
        <w:rPr>
          <w:rFonts w:cs="Times New Roman"/>
        </w:rPr>
        <w:t xml:space="preserve"> efficiency defence </w:t>
      </w:r>
      <w:r w:rsidR="00387F1D" w:rsidRPr="000640FD">
        <w:rPr>
          <w:rFonts w:cs="Times New Roman"/>
        </w:rPr>
        <w:t xml:space="preserve">has been </w:t>
      </w:r>
      <w:r w:rsidR="005D47FB" w:rsidRPr="000640FD">
        <w:rPr>
          <w:rFonts w:cs="Times New Roman"/>
        </w:rPr>
        <w:t>raised,</w:t>
      </w:r>
      <w:r w:rsidR="009D37D4" w:rsidRPr="000640FD">
        <w:rPr>
          <w:rFonts w:cs="Times New Roman"/>
        </w:rPr>
        <w:t xml:space="preserve"> </w:t>
      </w:r>
      <w:r w:rsidR="00E04234" w:rsidRPr="000640FD">
        <w:rPr>
          <w:rFonts w:cs="Times New Roman"/>
        </w:rPr>
        <w:t xml:space="preserve">the competition authorities are </w:t>
      </w:r>
      <w:r w:rsidR="0049248F">
        <w:rPr>
          <w:rFonts w:cs="Times New Roman"/>
        </w:rPr>
        <w:t>obligated</w:t>
      </w:r>
      <w:r w:rsidR="009D37D4" w:rsidRPr="000640FD">
        <w:rPr>
          <w:rFonts w:cs="Times New Roman"/>
        </w:rPr>
        <w:t xml:space="preserve"> to </w:t>
      </w:r>
      <w:r w:rsidR="00E04234" w:rsidRPr="000640FD">
        <w:rPr>
          <w:rFonts w:cs="Times New Roman"/>
        </w:rPr>
        <w:t>balance the efficiency defence against the potential anti-competitive effects of the relevant conduct.</w:t>
      </w:r>
      <w:r w:rsidR="009D37D4" w:rsidRPr="000640FD">
        <w:rPr>
          <w:rFonts w:cs="Times New Roman"/>
        </w:rPr>
        <w:t xml:space="preserve"> If the efficiency defence outweighs the potential anti-competitive </w:t>
      </w:r>
      <w:r w:rsidR="0025417C" w:rsidRPr="000640FD">
        <w:rPr>
          <w:rFonts w:cs="Times New Roman"/>
        </w:rPr>
        <w:t>effects</w:t>
      </w:r>
      <w:r w:rsidR="0049248F">
        <w:rPr>
          <w:rFonts w:cs="Times New Roman"/>
        </w:rPr>
        <w:t>,</w:t>
      </w:r>
      <w:r w:rsidR="009D37D4" w:rsidRPr="000640FD">
        <w:rPr>
          <w:rFonts w:cs="Times New Roman"/>
        </w:rPr>
        <w:t xml:space="preserve"> then </w:t>
      </w:r>
      <w:r w:rsidR="0049248F" w:rsidRPr="000640FD">
        <w:rPr>
          <w:rFonts w:cs="Times New Roman"/>
        </w:rPr>
        <w:t>the competition authorities regardless of its potential anti-competitive effects must permit that specific conduct</w:t>
      </w:r>
      <w:r w:rsidR="009D37D4" w:rsidRPr="000640FD">
        <w:rPr>
          <w:rFonts w:cs="Times New Roman"/>
        </w:rPr>
        <w:t>.</w:t>
      </w:r>
    </w:p>
    <w:p w:rsidR="00B85E91" w:rsidRPr="000640FD" w:rsidRDefault="00B85E91" w:rsidP="00B33627">
      <w:pPr>
        <w:contextualSpacing/>
        <w:jc w:val="both"/>
        <w:rPr>
          <w:rFonts w:cs="Times New Roman"/>
        </w:rPr>
      </w:pPr>
    </w:p>
    <w:p w:rsidR="004A14A3" w:rsidRPr="000640FD" w:rsidRDefault="00082517" w:rsidP="00B33627">
      <w:pPr>
        <w:contextualSpacing/>
        <w:jc w:val="both"/>
        <w:rPr>
          <w:rFonts w:cs="Times New Roman"/>
        </w:rPr>
      </w:pPr>
      <w:r w:rsidRPr="000640FD">
        <w:rPr>
          <w:rFonts w:cs="Times New Roman"/>
        </w:rPr>
        <w:t xml:space="preserve">This paper will discuss several relevant </w:t>
      </w:r>
      <w:r w:rsidR="003B4177" w:rsidRPr="000640FD">
        <w:rPr>
          <w:rFonts w:cs="Times New Roman"/>
        </w:rPr>
        <w:t>issues</w:t>
      </w:r>
      <w:r w:rsidR="00A43863" w:rsidRPr="000640FD">
        <w:rPr>
          <w:rStyle w:val="FootnoteReference"/>
          <w:rFonts w:cs="Times New Roman"/>
        </w:rPr>
        <w:footnoteReference w:id="22"/>
      </w:r>
      <w:r w:rsidRPr="000640FD">
        <w:rPr>
          <w:rFonts w:cs="Times New Roman"/>
        </w:rPr>
        <w:t xml:space="preserve"> with regard to the efficiency defence.</w:t>
      </w:r>
      <w:r w:rsidR="005D47FB">
        <w:rPr>
          <w:rStyle w:val="FootnoteReference"/>
          <w:rFonts w:cs="Times New Roman"/>
        </w:rPr>
        <w:footnoteReference w:id="23"/>
      </w:r>
      <w:r w:rsidR="005D47FB">
        <w:rPr>
          <w:rFonts w:cs="Times New Roman"/>
        </w:rPr>
        <w:t xml:space="preserve"> The </w:t>
      </w:r>
      <w:r w:rsidR="00694D67">
        <w:rPr>
          <w:rFonts w:cs="Times New Roman"/>
        </w:rPr>
        <w:t>1</w:t>
      </w:r>
      <w:r w:rsidR="00694D67">
        <w:rPr>
          <w:rFonts w:cs="Times New Roman"/>
          <w:vertAlign w:val="superscript"/>
        </w:rPr>
        <w:t>st</w:t>
      </w:r>
      <w:r w:rsidR="00C2372E">
        <w:rPr>
          <w:rFonts w:cs="Times New Roman"/>
        </w:rPr>
        <w:t xml:space="preserve"> issue will be that of when</w:t>
      </w:r>
      <w:r w:rsidR="00694D67">
        <w:rPr>
          <w:rFonts w:cs="Times New Roman"/>
        </w:rPr>
        <w:t xml:space="preserve"> does </w:t>
      </w:r>
      <w:r w:rsidR="00C2372E">
        <w:rPr>
          <w:rFonts w:cs="Times New Roman"/>
        </w:rPr>
        <w:t>a</w:t>
      </w:r>
      <w:r w:rsidR="00A43863" w:rsidRPr="000640FD">
        <w:rPr>
          <w:rFonts w:cs="Times New Roman"/>
        </w:rPr>
        <w:t xml:space="preserve"> joint venture </w:t>
      </w:r>
      <w:r w:rsidR="003A0F33" w:rsidRPr="000640FD">
        <w:rPr>
          <w:rFonts w:cs="Times New Roman"/>
        </w:rPr>
        <w:t>constitute a merger</w:t>
      </w:r>
      <w:r w:rsidR="00C2372E">
        <w:rPr>
          <w:rFonts w:cs="Times New Roman"/>
        </w:rPr>
        <w:t>.</w:t>
      </w:r>
      <w:r w:rsidR="003A0F33" w:rsidRPr="000640FD">
        <w:rPr>
          <w:rFonts w:cs="Times New Roman"/>
        </w:rPr>
        <w:t xml:space="preserve"> This issue is relevant because joint ventures and mergers are regulated by different sections of the Competition Act</w:t>
      </w:r>
      <w:r w:rsidR="003A0F33" w:rsidRPr="000640FD">
        <w:rPr>
          <w:rStyle w:val="FootnoteReference"/>
          <w:rFonts w:cs="Times New Roman"/>
        </w:rPr>
        <w:footnoteReference w:id="24"/>
      </w:r>
      <w:r w:rsidR="003A0F33" w:rsidRPr="000640FD">
        <w:rPr>
          <w:rFonts w:cs="Times New Roman"/>
        </w:rPr>
        <w:t xml:space="preserve"> and accordingly the procedures and requirements of forming a joint venture and a merger are very different from each other.</w:t>
      </w:r>
      <w:r w:rsidR="003A0F33" w:rsidRPr="000640FD">
        <w:rPr>
          <w:rStyle w:val="FootnoteReference"/>
          <w:rFonts w:cs="Times New Roman"/>
        </w:rPr>
        <w:footnoteReference w:id="25"/>
      </w:r>
      <w:r w:rsidR="003A0F33" w:rsidRPr="000640FD">
        <w:rPr>
          <w:rFonts w:cs="Times New Roman"/>
        </w:rPr>
        <w:t xml:space="preserve"> </w:t>
      </w:r>
    </w:p>
    <w:p w:rsidR="004A14A3" w:rsidRPr="000640FD" w:rsidRDefault="004A14A3" w:rsidP="00B33627">
      <w:pPr>
        <w:contextualSpacing/>
        <w:jc w:val="both"/>
        <w:rPr>
          <w:rFonts w:cs="Times New Roman"/>
        </w:rPr>
      </w:pPr>
    </w:p>
    <w:p w:rsidR="004A14A3" w:rsidRPr="000640FD" w:rsidRDefault="002E0D53" w:rsidP="00B33627">
      <w:pPr>
        <w:contextualSpacing/>
        <w:jc w:val="both"/>
        <w:rPr>
          <w:rFonts w:cs="Times New Roman"/>
        </w:rPr>
      </w:pPr>
      <w:r w:rsidRPr="000640FD">
        <w:rPr>
          <w:rFonts w:cs="Times New Roman"/>
        </w:rPr>
        <w:t xml:space="preserve">The </w:t>
      </w:r>
      <w:r w:rsidR="00694D67">
        <w:rPr>
          <w:rFonts w:cs="Times New Roman"/>
        </w:rPr>
        <w:t>2</w:t>
      </w:r>
      <w:r w:rsidR="00694D67">
        <w:rPr>
          <w:rFonts w:cs="Times New Roman"/>
          <w:vertAlign w:val="superscript"/>
        </w:rPr>
        <w:t>nd</w:t>
      </w:r>
      <w:r w:rsidRPr="000640FD">
        <w:rPr>
          <w:rFonts w:cs="Times New Roman"/>
        </w:rPr>
        <w:t xml:space="preserve"> issue that will be considered is the issue of how the potential anti-competitive </w:t>
      </w:r>
      <w:r w:rsidR="0025417C" w:rsidRPr="000640FD">
        <w:rPr>
          <w:rFonts w:cs="Times New Roman"/>
        </w:rPr>
        <w:t>effects</w:t>
      </w:r>
      <w:r w:rsidRPr="000640FD">
        <w:rPr>
          <w:rFonts w:cs="Times New Roman"/>
        </w:rPr>
        <w:t xml:space="preserve"> are measured by the South African competition authorities.</w:t>
      </w:r>
      <w:r w:rsidRPr="000640FD">
        <w:rPr>
          <w:rStyle w:val="FootnoteReference"/>
          <w:rFonts w:cs="Times New Roman"/>
        </w:rPr>
        <w:footnoteReference w:id="26"/>
      </w:r>
      <w:r w:rsidR="00694D67">
        <w:rPr>
          <w:rFonts w:cs="Times New Roman"/>
        </w:rPr>
        <w:t xml:space="preserve"> The</w:t>
      </w:r>
      <w:r w:rsidR="001D3036" w:rsidRPr="000640FD">
        <w:rPr>
          <w:rFonts w:cs="Times New Roman"/>
        </w:rPr>
        <w:t xml:space="preserve"> </w:t>
      </w:r>
      <w:r w:rsidR="00694D67">
        <w:rPr>
          <w:rFonts w:cs="Times New Roman"/>
        </w:rPr>
        <w:t>2</w:t>
      </w:r>
      <w:r w:rsidR="00694D67">
        <w:rPr>
          <w:rFonts w:cs="Times New Roman"/>
          <w:vertAlign w:val="superscript"/>
        </w:rPr>
        <w:t>nd</w:t>
      </w:r>
      <w:r w:rsidR="00694D67">
        <w:rPr>
          <w:rFonts w:cs="Times New Roman"/>
        </w:rPr>
        <w:t xml:space="preserve"> </w:t>
      </w:r>
      <w:r w:rsidR="001D3036" w:rsidRPr="000640FD">
        <w:rPr>
          <w:rFonts w:cs="Times New Roman"/>
        </w:rPr>
        <w:t>issue leads to the 3</w:t>
      </w:r>
      <w:r w:rsidR="001D3036" w:rsidRPr="000640FD">
        <w:rPr>
          <w:rFonts w:cs="Times New Roman"/>
          <w:vertAlign w:val="superscript"/>
        </w:rPr>
        <w:t>rd</w:t>
      </w:r>
      <w:r w:rsidR="001D3036" w:rsidRPr="000640FD">
        <w:rPr>
          <w:rFonts w:cs="Times New Roman"/>
        </w:rPr>
        <w:t xml:space="preserve"> issue that will be addressed in this paper namely how do the South African competition authorities verify the efficiency defence raised by the contravening party. Stated differently</w:t>
      </w:r>
      <w:r w:rsidR="00694D67">
        <w:rPr>
          <w:rFonts w:cs="Times New Roman"/>
        </w:rPr>
        <w:t>,</w:t>
      </w:r>
      <w:r w:rsidR="001D3036" w:rsidRPr="000640FD">
        <w:rPr>
          <w:rFonts w:cs="Times New Roman"/>
        </w:rPr>
        <w:t xml:space="preserve"> how do the South African competition authorities </w:t>
      </w:r>
      <w:r w:rsidR="00654C00" w:rsidRPr="000640FD">
        <w:rPr>
          <w:rFonts w:cs="Times New Roman"/>
        </w:rPr>
        <w:t>determine</w:t>
      </w:r>
      <w:r w:rsidR="001D3036" w:rsidRPr="000640FD">
        <w:rPr>
          <w:rFonts w:cs="Times New Roman"/>
        </w:rPr>
        <w:t xml:space="preserve"> that the efficiency defence raised by the contravening party is indeed </w:t>
      </w:r>
      <w:r w:rsidR="00654C00" w:rsidRPr="000640FD">
        <w:rPr>
          <w:rFonts w:cs="Times New Roman"/>
        </w:rPr>
        <w:t xml:space="preserve">an </w:t>
      </w:r>
      <w:r w:rsidR="001D3036" w:rsidRPr="000640FD">
        <w:rPr>
          <w:rFonts w:cs="Times New Roman"/>
        </w:rPr>
        <w:t xml:space="preserve">accurate </w:t>
      </w:r>
      <w:r w:rsidR="00654C00" w:rsidRPr="000640FD">
        <w:rPr>
          <w:rFonts w:cs="Times New Roman"/>
        </w:rPr>
        <w:t>version of the facts</w:t>
      </w:r>
      <w:r w:rsidR="00694D67">
        <w:rPr>
          <w:rFonts w:cs="Times New Roman"/>
        </w:rPr>
        <w:t>?</w:t>
      </w:r>
      <w:r w:rsidR="00654C00" w:rsidRPr="000640FD">
        <w:rPr>
          <w:rStyle w:val="FootnoteReference"/>
          <w:rFonts w:cs="Times New Roman"/>
        </w:rPr>
        <w:footnoteReference w:id="27"/>
      </w:r>
      <w:r w:rsidR="00654C00" w:rsidRPr="000640FD">
        <w:rPr>
          <w:rFonts w:cs="Times New Roman"/>
        </w:rPr>
        <w:t xml:space="preserve">  </w:t>
      </w:r>
      <w:r w:rsidR="001D3036" w:rsidRPr="000640FD">
        <w:rPr>
          <w:rFonts w:cs="Times New Roman"/>
        </w:rPr>
        <w:t xml:space="preserve"> </w:t>
      </w:r>
    </w:p>
    <w:p w:rsidR="004A14A3" w:rsidRPr="000640FD" w:rsidRDefault="004A14A3" w:rsidP="00B33627">
      <w:pPr>
        <w:contextualSpacing/>
        <w:jc w:val="both"/>
        <w:rPr>
          <w:rFonts w:cs="Times New Roman"/>
        </w:rPr>
      </w:pPr>
    </w:p>
    <w:p w:rsidR="009E1EA1" w:rsidRDefault="009E1EA1" w:rsidP="00B33627">
      <w:pPr>
        <w:contextualSpacing/>
        <w:jc w:val="both"/>
        <w:rPr>
          <w:rFonts w:cs="Times New Roman"/>
        </w:rPr>
      </w:pPr>
    </w:p>
    <w:p w:rsidR="004A14A3" w:rsidRPr="000640FD" w:rsidRDefault="004A14A3" w:rsidP="00B33627">
      <w:pPr>
        <w:contextualSpacing/>
        <w:jc w:val="both"/>
        <w:rPr>
          <w:rFonts w:cs="Times New Roman"/>
        </w:rPr>
      </w:pPr>
      <w:r w:rsidRPr="000640FD">
        <w:rPr>
          <w:rFonts w:cs="Times New Roman"/>
        </w:rPr>
        <w:lastRenderedPageBreak/>
        <w:t>The 4</w:t>
      </w:r>
      <w:r w:rsidRPr="000640FD">
        <w:rPr>
          <w:rFonts w:cs="Times New Roman"/>
          <w:vertAlign w:val="superscript"/>
        </w:rPr>
        <w:t>th</w:t>
      </w:r>
      <w:r w:rsidRPr="000640FD">
        <w:rPr>
          <w:rFonts w:cs="Times New Roman"/>
        </w:rPr>
        <w:t xml:space="preserve"> issue that will be </w:t>
      </w:r>
      <w:r w:rsidR="00CA7ED3" w:rsidRPr="000640FD">
        <w:rPr>
          <w:rFonts w:cs="Times New Roman"/>
        </w:rPr>
        <w:t>considered</w:t>
      </w:r>
      <w:r w:rsidRPr="000640FD">
        <w:rPr>
          <w:rFonts w:cs="Times New Roman"/>
        </w:rPr>
        <w:t xml:space="preserve"> is the issue of the different types of </w:t>
      </w:r>
      <w:r w:rsidR="00CA7ED3" w:rsidRPr="000640FD">
        <w:rPr>
          <w:rFonts w:cs="Times New Roman"/>
        </w:rPr>
        <w:t xml:space="preserve">efficiency, technological and other pro-competitive gains that are recognised by the South Africa competition authorities. The South African position will then be compared with that of the United States of America, the European Union and Canada. </w:t>
      </w:r>
    </w:p>
    <w:p w:rsidR="00CA7ED3" w:rsidRPr="000640FD" w:rsidRDefault="00CA7ED3" w:rsidP="00B33627">
      <w:pPr>
        <w:contextualSpacing/>
        <w:jc w:val="both"/>
        <w:rPr>
          <w:rFonts w:cs="Times New Roman"/>
        </w:rPr>
      </w:pPr>
    </w:p>
    <w:p w:rsidR="00D7402A" w:rsidRPr="000640FD" w:rsidRDefault="00CA7ED3" w:rsidP="00B33627">
      <w:pPr>
        <w:contextualSpacing/>
        <w:jc w:val="both"/>
        <w:rPr>
          <w:rFonts w:cs="Times New Roman"/>
        </w:rPr>
      </w:pPr>
      <w:r w:rsidRPr="000640FD">
        <w:rPr>
          <w:rFonts w:cs="Times New Roman"/>
        </w:rPr>
        <w:t>The 5</w:t>
      </w:r>
      <w:r w:rsidRPr="000640FD">
        <w:rPr>
          <w:rFonts w:cs="Times New Roman"/>
          <w:vertAlign w:val="superscript"/>
        </w:rPr>
        <w:t>th</w:t>
      </w:r>
      <w:r w:rsidRPr="000640FD">
        <w:rPr>
          <w:rFonts w:cs="Times New Roman"/>
        </w:rPr>
        <w:t xml:space="preserve"> issue that will be discussed is that of how the efficiency defence is weighed against the potential anti-competitive effects by the South African competition authorities. </w:t>
      </w:r>
      <w:r w:rsidR="00694D67" w:rsidRPr="000640FD">
        <w:rPr>
          <w:rFonts w:cs="Times New Roman"/>
        </w:rPr>
        <w:t>Again,</w:t>
      </w:r>
      <w:r w:rsidRPr="000640FD">
        <w:rPr>
          <w:rFonts w:cs="Times New Roman"/>
        </w:rPr>
        <w:t xml:space="preserve"> the South African position will be compared to that of the United States of America, the European Union and Canada.</w:t>
      </w:r>
      <w:r w:rsidR="005E1854" w:rsidRPr="000640FD">
        <w:rPr>
          <w:rFonts w:cs="Times New Roman"/>
        </w:rPr>
        <w:t xml:space="preserve"> The 6</w:t>
      </w:r>
      <w:r w:rsidR="005E1854" w:rsidRPr="000640FD">
        <w:rPr>
          <w:rFonts w:cs="Times New Roman"/>
          <w:vertAlign w:val="superscript"/>
        </w:rPr>
        <w:t>th</w:t>
      </w:r>
      <w:r w:rsidR="005E1854" w:rsidRPr="000640FD">
        <w:rPr>
          <w:rFonts w:cs="Times New Roman"/>
        </w:rPr>
        <w:t xml:space="preserve"> issue that will be dealt with will be that of in whose favour the South African competition authorities should interpret and apply the efficiency defence.</w:t>
      </w:r>
      <w:r w:rsidR="005E1854" w:rsidRPr="000640FD">
        <w:rPr>
          <w:rStyle w:val="FootnoteReference"/>
          <w:rFonts w:cs="Times New Roman"/>
        </w:rPr>
        <w:footnoteReference w:id="28"/>
      </w:r>
      <w:r w:rsidR="007B0BF6" w:rsidRPr="000640FD">
        <w:rPr>
          <w:rFonts w:cs="Times New Roman"/>
        </w:rPr>
        <w:t xml:space="preserve"> The South African position will then be compared to that of the United States of America, the European Union and Canada.</w:t>
      </w:r>
      <w:r w:rsidR="00932C4A" w:rsidRPr="000640FD">
        <w:rPr>
          <w:rFonts w:cs="Times New Roman"/>
        </w:rPr>
        <w:t xml:space="preserve"> </w:t>
      </w:r>
    </w:p>
    <w:p w:rsidR="00D7402A" w:rsidRPr="000640FD" w:rsidRDefault="00D7402A" w:rsidP="00B33627">
      <w:pPr>
        <w:contextualSpacing/>
        <w:jc w:val="both"/>
        <w:rPr>
          <w:rFonts w:cs="Times New Roman"/>
        </w:rPr>
      </w:pPr>
    </w:p>
    <w:p w:rsidR="004A14A3" w:rsidRPr="000640FD" w:rsidRDefault="00932C4A" w:rsidP="00B33627">
      <w:pPr>
        <w:contextualSpacing/>
        <w:jc w:val="both"/>
        <w:rPr>
          <w:rFonts w:cs="Times New Roman"/>
        </w:rPr>
      </w:pPr>
      <w:r w:rsidRPr="000640FD">
        <w:rPr>
          <w:rFonts w:cs="Times New Roman"/>
        </w:rPr>
        <w:t>The 7</w:t>
      </w:r>
      <w:r w:rsidRPr="000640FD">
        <w:rPr>
          <w:rFonts w:cs="Times New Roman"/>
          <w:vertAlign w:val="superscript"/>
        </w:rPr>
        <w:t>th</w:t>
      </w:r>
      <w:r w:rsidRPr="000640FD">
        <w:rPr>
          <w:rFonts w:cs="Times New Roman"/>
        </w:rPr>
        <w:t xml:space="preserve"> issue will consider the advantages and disadvantages of having a</w:t>
      </w:r>
      <w:r w:rsidR="00694D67">
        <w:rPr>
          <w:rFonts w:cs="Times New Roman"/>
        </w:rPr>
        <w:t>n</w:t>
      </w:r>
      <w:r w:rsidRPr="000640FD">
        <w:rPr>
          <w:rFonts w:cs="Times New Roman"/>
        </w:rPr>
        <w:t xml:space="preserve"> efficiency defence </w:t>
      </w:r>
      <w:r w:rsidR="00D7402A" w:rsidRPr="000640FD">
        <w:rPr>
          <w:rFonts w:cs="Times New Roman"/>
        </w:rPr>
        <w:t>such as the efficiency defence contained within the Competition Act.</w:t>
      </w:r>
      <w:r w:rsidR="00D7402A" w:rsidRPr="000640FD">
        <w:rPr>
          <w:rStyle w:val="FootnoteReference"/>
          <w:rFonts w:cs="Times New Roman"/>
        </w:rPr>
        <w:footnoteReference w:id="29"/>
      </w:r>
      <w:r w:rsidR="00D7402A" w:rsidRPr="000640FD">
        <w:rPr>
          <w:rFonts w:cs="Times New Roman"/>
        </w:rPr>
        <w:t xml:space="preserve"> The 8</w:t>
      </w:r>
      <w:r w:rsidR="00D7402A" w:rsidRPr="000640FD">
        <w:rPr>
          <w:rFonts w:cs="Times New Roman"/>
          <w:vertAlign w:val="superscript"/>
        </w:rPr>
        <w:t>th</w:t>
      </w:r>
      <w:r w:rsidR="00D7402A" w:rsidRPr="000640FD">
        <w:rPr>
          <w:rFonts w:cs="Times New Roman"/>
        </w:rPr>
        <w:t xml:space="preserve"> and last issue that will be discussed in this paper will be whether the public interest defence </w:t>
      </w:r>
      <w:r w:rsidR="00C13C9E" w:rsidRPr="000640FD">
        <w:rPr>
          <w:rFonts w:cs="Times New Roman"/>
        </w:rPr>
        <w:t xml:space="preserve">contributes </w:t>
      </w:r>
      <w:r w:rsidR="00B62DB8" w:rsidRPr="000640FD">
        <w:rPr>
          <w:rFonts w:cs="Times New Roman"/>
        </w:rPr>
        <w:t xml:space="preserve">or </w:t>
      </w:r>
      <w:r w:rsidR="00C13C9E" w:rsidRPr="000640FD">
        <w:rPr>
          <w:rFonts w:cs="Times New Roman"/>
        </w:rPr>
        <w:t>subtracts</w:t>
      </w:r>
      <w:r w:rsidR="00B62DB8" w:rsidRPr="000640FD">
        <w:rPr>
          <w:rFonts w:cs="Times New Roman"/>
        </w:rPr>
        <w:t xml:space="preserve"> from </w:t>
      </w:r>
      <w:r w:rsidR="00C13C9E" w:rsidRPr="000640FD">
        <w:rPr>
          <w:rFonts w:cs="Times New Roman"/>
        </w:rPr>
        <w:t xml:space="preserve">the attainment of </w:t>
      </w:r>
      <w:r w:rsidR="00B62DB8" w:rsidRPr="000640FD">
        <w:rPr>
          <w:rFonts w:cs="Times New Roman"/>
        </w:rPr>
        <w:t>the purpose and objectives of this Act.</w:t>
      </w:r>
      <w:r w:rsidR="00B62DB8" w:rsidRPr="000640FD">
        <w:rPr>
          <w:rStyle w:val="FootnoteReference"/>
          <w:rFonts w:cs="Times New Roman"/>
        </w:rPr>
        <w:footnoteReference w:id="30"/>
      </w:r>
    </w:p>
    <w:p w:rsidR="0038350F" w:rsidRPr="000640FD" w:rsidRDefault="001D3036" w:rsidP="00B33627">
      <w:pPr>
        <w:contextualSpacing/>
        <w:jc w:val="both"/>
        <w:rPr>
          <w:rFonts w:cs="Times New Roman"/>
        </w:rPr>
      </w:pPr>
      <w:r w:rsidRPr="000640FD">
        <w:rPr>
          <w:rFonts w:cs="Times New Roman"/>
        </w:rPr>
        <w:t xml:space="preserve">  </w:t>
      </w:r>
    </w:p>
    <w:p w:rsidR="008632C7" w:rsidRPr="000640FD" w:rsidRDefault="002E7196" w:rsidP="00811405">
      <w:pPr>
        <w:contextualSpacing/>
        <w:jc w:val="center"/>
        <w:rPr>
          <w:rFonts w:cs="Times New Roman"/>
        </w:rPr>
      </w:pPr>
      <w:r w:rsidRPr="000640FD">
        <w:rPr>
          <w:rFonts w:cs="Times New Roman"/>
          <w:b/>
          <w:bCs/>
        </w:rPr>
        <w:t>4. Research methodology</w:t>
      </w:r>
    </w:p>
    <w:p w:rsidR="00F626EC" w:rsidRPr="000640FD" w:rsidRDefault="00F626EC" w:rsidP="00B33627">
      <w:pPr>
        <w:contextualSpacing/>
        <w:jc w:val="both"/>
        <w:rPr>
          <w:rFonts w:cs="Times New Roman"/>
        </w:rPr>
      </w:pPr>
    </w:p>
    <w:p w:rsidR="00B5607C" w:rsidRPr="000640FD" w:rsidRDefault="00302492" w:rsidP="00B33627">
      <w:pPr>
        <w:contextualSpacing/>
        <w:jc w:val="both"/>
        <w:rPr>
          <w:rFonts w:cs="Times New Roman"/>
        </w:rPr>
      </w:pPr>
      <w:r w:rsidRPr="000640FD">
        <w:rPr>
          <w:rFonts w:cs="Times New Roman"/>
        </w:rPr>
        <w:t>Broadly speaking this paper will be using the comparative method of legal writing.</w:t>
      </w:r>
      <w:r w:rsidRPr="000640FD">
        <w:rPr>
          <w:rStyle w:val="FootnoteReference"/>
          <w:rFonts w:cs="Times New Roman"/>
        </w:rPr>
        <w:footnoteReference w:id="31"/>
      </w:r>
      <w:r w:rsidR="00B01F01" w:rsidRPr="000640FD">
        <w:rPr>
          <w:rFonts w:cs="Times New Roman"/>
        </w:rPr>
        <w:t xml:space="preserve"> However, t</w:t>
      </w:r>
      <w:r w:rsidR="00A42C60" w:rsidRPr="000640FD">
        <w:rPr>
          <w:rFonts w:cs="Times New Roman"/>
        </w:rPr>
        <w:t>his paper will</w:t>
      </w:r>
      <w:r w:rsidRPr="000640FD">
        <w:rPr>
          <w:rFonts w:cs="Times New Roman"/>
        </w:rPr>
        <w:t xml:space="preserve"> also include</w:t>
      </w:r>
      <w:r w:rsidR="00A42C60" w:rsidRPr="000640FD">
        <w:rPr>
          <w:rFonts w:cs="Times New Roman"/>
        </w:rPr>
        <w:t xml:space="preserve"> elements of informative, analytical and argumentative papers. This paper will be informative in the sense that it will set out </w:t>
      </w:r>
      <w:r w:rsidR="00B01F01" w:rsidRPr="000640FD">
        <w:rPr>
          <w:rFonts w:cs="Times New Roman"/>
        </w:rPr>
        <w:t xml:space="preserve">the interpretation and application of </w:t>
      </w:r>
      <w:r w:rsidR="003B752E">
        <w:rPr>
          <w:rFonts w:cs="Times New Roman"/>
        </w:rPr>
        <w:t xml:space="preserve">the </w:t>
      </w:r>
      <w:r w:rsidR="00A42C60" w:rsidRPr="000640FD">
        <w:rPr>
          <w:rFonts w:cs="Times New Roman"/>
        </w:rPr>
        <w:t xml:space="preserve">efficiency defence </w:t>
      </w:r>
      <w:r w:rsidR="003B752E">
        <w:rPr>
          <w:rFonts w:cs="Times New Roman"/>
        </w:rPr>
        <w:t xml:space="preserve">in </w:t>
      </w:r>
      <w:r w:rsidR="00A42C60" w:rsidRPr="000640FD">
        <w:rPr>
          <w:rFonts w:cs="Times New Roman"/>
        </w:rPr>
        <w:t xml:space="preserve">competition matters not only in South Africa but also in the United </w:t>
      </w:r>
      <w:r w:rsidR="00810A40" w:rsidRPr="000640FD">
        <w:rPr>
          <w:rFonts w:cs="Times New Roman"/>
        </w:rPr>
        <w:t>States</w:t>
      </w:r>
      <w:r w:rsidR="00A42C60" w:rsidRPr="000640FD">
        <w:rPr>
          <w:rFonts w:cs="Times New Roman"/>
        </w:rPr>
        <w:t xml:space="preserve"> of America, the European Union and Canada. </w:t>
      </w:r>
      <w:r w:rsidR="00810A40" w:rsidRPr="000640FD">
        <w:rPr>
          <w:rFonts w:cs="Times New Roman"/>
        </w:rPr>
        <w:t>Furthermore, this paper will be</w:t>
      </w:r>
      <w:r w:rsidR="00A42C60" w:rsidRPr="000640FD">
        <w:rPr>
          <w:rFonts w:cs="Times New Roman"/>
        </w:rPr>
        <w:t xml:space="preserve"> analytical in the sense that it </w:t>
      </w:r>
      <w:r w:rsidR="00A42C60" w:rsidRPr="000640FD">
        <w:rPr>
          <w:rFonts w:cs="Times New Roman"/>
        </w:rPr>
        <w:lastRenderedPageBreak/>
        <w:t>breaks the efficiency defence down in</w:t>
      </w:r>
      <w:r w:rsidR="00B01F01" w:rsidRPr="000640FD">
        <w:rPr>
          <w:rFonts w:cs="Times New Roman"/>
        </w:rPr>
        <w:t>to</w:t>
      </w:r>
      <w:r w:rsidR="00A42C60" w:rsidRPr="000640FD">
        <w:rPr>
          <w:rFonts w:cs="Times New Roman"/>
        </w:rPr>
        <w:t xml:space="preserve"> all its different elements. </w:t>
      </w:r>
      <w:r w:rsidR="00810A40" w:rsidRPr="000640FD">
        <w:rPr>
          <w:rFonts w:cs="Times New Roman"/>
        </w:rPr>
        <w:t>Lastly,</w:t>
      </w:r>
      <w:r w:rsidR="00A42C60" w:rsidRPr="000640FD">
        <w:rPr>
          <w:rFonts w:cs="Times New Roman"/>
        </w:rPr>
        <w:t xml:space="preserve"> this paper </w:t>
      </w:r>
      <w:r w:rsidR="00810A40" w:rsidRPr="000640FD">
        <w:rPr>
          <w:rFonts w:cs="Times New Roman"/>
        </w:rPr>
        <w:t>will be</w:t>
      </w:r>
      <w:r w:rsidR="00A42C60" w:rsidRPr="000640FD">
        <w:rPr>
          <w:rFonts w:cs="Times New Roman"/>
        </w:rPr>
        <w:t xml:space="preserve"> argumentative in the sense that </w:t>
      </w:r>
      <w:r w:rsidR="00810A40" w:rsidRPr="000640FD">
        <w:rPr>
          <w:rFonts w:cs="Times New Roman"/>
        </w:rPr>
        <w:t xml:space="preserve">it will make </w:t>
      </w:r>
      <w:r w:rsidR="004B1ABD" w:rsidRPr="000640FD">
        <w:rPr>
          <w:rFonts w:cs="Times New Roman"/>
        </w:rPr>
        <w:t xml:space="preserve">certain </w:t>
      </w:r>
      <w:r w:rsidR="00810A40" w:rsidRPr="000640FD">
        <w:rPr>
          <w:rFonts w:cs="Times New Roman"/>
        </w:rPr>
        <w:t xml:space="preserve">recommendations on how the South African competition authorities should amend </w:t>
      </w:r>
      <w:r w:rsidR="004B1ABD" w:rsidRPr="000640FD">
        <w:rPr>
          <w:rFonts w:cs="Times New Roman"/>
        </w:rPr>
        <w:t>their</w:t>
      </w:r>
      <w:r w:rsidR="00810A40" w:rsidRPr="000640FD">
        <w:rPr>
          <w:rFonts w:cs="Times New Roman"/>
        </w:rPr>
        <w:t xml:space="preserve"> policies on the </w:t>
      </w:r>
      <w:r w:rsidR="004B1ABD" w:rsidRPr="000640FD">
        <w:rPr>
          <w:rFonts w:cs="Times New Roman"/>
        </w:rPr>
        <w:t xml:space="preserve">interpretation and application of </w:t>
      </w:r>
      <w:r w:rsidR="00810A40" w:rsidRPr="000640FD">
        <w:rPr>
          <w:rFonts w:cs="Times New Roman"/>
        </w:rPr>
        <w:t>efficiency defence.</w:t>
      </w:r>
      <w:r w:rsidR="004B1ABD" w:rsidRPr="000640FD">
        <w:rPr>
          <w:rFonts w:cs="Times New Roman"/>
        </w:rPr>
        <w:t xml:space="preserve"> These recommendations will be based upon the comparison of the position of the efficiency defence in South Africa with its position in the United States of America, the European Union and Canada.</w:t>
      </w:r>
      <w:r w:rsidR="000D04F1" w:rsidRPr="000640FD">
        <w:rPr>
          <w:rFonts w:cs="Times New Roman"/>
        </w:rPr>
        <w:t xml:space="preserve"> Furthermore, these recommendations will also be backed by economic theory.</w:t>
      </w:r>
    </w:p>
    <w:p w:rsidR="006760FA" w:rsidRPr="000640FD" w:rsidRDefault="006760FA" w:rsidP="00B33627">
      <w:pPr>
        <w:contextualSpacing/>
        <w:jc w:val="both"/>
        <w:rPr>
          <w:rFonts w:cs="Times New Roman"/>
        </w:rPr>
      </w:pPr>
    </w:p>
    <w:p w:rsidR="006760FA" w:rsidRPr="000640FD" w:rsidRDefault="006760FA" w:rsidP="00B33627">
      <w:pPr>
        <w:contextualSpacing/>
        <w:jc w:val="both"/>
        <w:rPr>
          <w:rFonts w:cs="Times New Roman"/>
        </w:rPr>
      </w:pPr>
      <w:r w:rsidRPr="000640FD">
        <w:rPr>
          <w:rFonts w:cs="Times New Roman"/>
        </w:rPr>
        <w:t>The re</w:t>
      </w:r>
      <w:r w:rsidR="00583D89">
        <w:rPr>
          <w:rFonts w:cs="Times New Roman"/>
        </w:rPr>
        <w:t>s</w:t>
      </w:r>
      <w:r w:rsidRPr="000640FD">
        <w:rPr>
          <w:rFonts w:cs="Times New Roman"/>
        </w:rPr>
        <w:t>our</w:t>
      </w:r>
      <w:r w:rsidR="00583D89">
        <w:rPr>
          <w:rFonts w:cs="Times New Roman"/>
        </w:rPr>
        <w:t>c</w:t>
      </w:r>
      <w:r w:rsidRPr="000640FD">
        <w:rPr>
          <w:rFonts w:cs="Times New Roman"/>
        </w:rPr>
        <w:t xml:space="preserve">es </w:t>
      </w:r>
      <w:r w:rsidR="003B752E">
        <w:rPr>
          <w:rFonts w:cs="Times New Roman"/>
        </w:rPr>
        <w:t>to</w:t>
      </w:r>
      <w:r w:rsidRPr="000640FD">
        <w:rPr>
          <w:rFonts w:cs="Times New Roman"/>
        </w:rPr>
        <w:t xml:space="preserve"> be used in this paper </w:t>
      </w:r>
      <w:r w:rsidR="00B01F01" w:rsidRPr="000640FD">
        <w:rPr>
          <w:rFonts w:cs="Times New Roman"/>
        </w:rPr>
        <w:t>include the following:</w:t>
      </w:r>
      <w:r w:rsidRPr="000640FD">
        <w:rPr>
          <w:rFonts w:cs="Times New Roman"/>
        </w:rPr>
        <w:t xml:space="preserve"> </w:t>
      </w:r>
      <w:r w:rsidR="00B01F01" w:rsidRPr="000640FD">
        <w:rPr>
          <w:rFonts w:cs="Times New Roman"/>
        </w:rPr>
        <w:t>l</w:t>
      </w:r>
      <w:r w:rsidRPr="000640FD">
        <w:rPr>
          <w:rFonts w:cs="Times New Roman"/>
        </w:rPr>
        <w:t>egislation,</w:t>
      </w:r>
      <w:r w:rsidRPr="000640FD">
        <w:rPr>
          <w:rStyle w:val="FootnoteReference"/>
          <w:rFonts w:cs="Times New Roman"/>
        </w:rPr>
        <w:footnoteReference w:id="32"/>
      </w:r>
      <w:r w:rsidRPr="000640FD">
        <w:rPr>
          <w:rFonts w:cs="Times New Roman"/>
        </w:rPr>
        <w:t xml:space="preserve"> case law,</w:t>
      </w:r>
      <w:r w:rsidRPr="000640FD">
        <w:rPr>
          <w:rStyle w:val="FootnoteReference"/>
          <w:rFonts w:cs="Times New Roman"/>
        </w:rPr>
        <w:footnoteReference w:id="33"/>
      </w:r>
      <w:r w:rsidR="00162646" w:rsidRPr="000640FD">
        <w:rPr>
          <w:rFonts w:cs="Times New Roman"/>
        </w:rPr>
        <w:t xml:space="preserve"> journal articles,</w:t>
      </w:r>
      <w:r w:rsidR="00162646" w:rsidRPr="000640FD">
        <w:rPr>
          <w:rStyle w:val="FootnoteReference"/>
          <w:rFonts w:cs="Times New Roman"/>
        </w:rPr>
        <w:footnoteReference w:id="34"/>
      </w:r>
      <w:r w:rsidR="00162646" w:rsidRPr="000640FD">
        <w:rPr>
          <w:rFonts w:cs="Times New Roman"/>
        </w:rPr>
        <w:t xml:space="preserve"> textbooks</w:t>
      </w:r>
      <w:r w:rsidR="00162646" w:rsidRPr="000640FD">
        <w:rPr>
          <w:rStyle w:val="FootnoteReference"/>
          <w:rFonts w:cs="Times New Roman"/>
        </w:rPr>
        <w:footnoteReference w:id="35"/>
      </w:r>
      <w:r w:rsidR="00B01F01" w:rsidRPr="000640FD">
        <w:rPr>
          <w:rFonts w:cs="Times New Roman"/>
        </w:rPr>
        <w:t xml:space="preserve"> and the</w:t>
      </w:r>
      <w:r w:rsidR="009564C9" w:rsidRPr="000640FD">
        <w:rPr>
          <w:rFonts w:cs="Times New Roman"/>
        </w:rPr>
        <w:t xml:space="preserve"> internet</w:t>
      </w:r>
      <w:r w:rsidR="00B01F01" w:rsidRPr="000640FD">
        <w:rPr>
          <w:rFonts w:cs="Times New Roman"/>
        </w:rPr>
        <w:t>.</w:t>
      </w:r>
      <w:r w:rsidR="00B01F01" w:rsidRPr="000640FD">
        <w:rPr>
          <w:rStyle w:val="FootnoteReference"/>
          <w:rFonts w:cs="Times New Roman"/>
        </w:rPr>
        <w:footnoteReference w:id="36"/>
      </w:r>
      <w:r w:rsidR="009564C9" w:rsidRPr="000640FD">
        <w:rPr>
          <w:rFonts w:cs="Times New Roman"/>
        </w:rPr>
        <w:t xml:space="preserve"> </w:t>
      </w:r>
    </w:p>
    <w:p w:rsidR="008632C7" w:rsidRPr="000640FD" w:rsidRDefault="008632C7" w:rsidP="000640FD">
      <w:pPr>
        <w:contextualSpacing/>
        <w:rPr>
          <w:rFonts w:cs="Times New Roman"/>
        </w:rPr>
      </w:pPr>
    </w:p>
    <w:p w:rsidR="008632C7" w:rsidRPr="000640FD" w:rsidRDefault="002E7196" w:rsidP="000769B5">
      <w:pPr>
        <w:contextualSpacing/>
        <w:jc w:val="center"/>
        <w:rPr>
          <w:rFonts w:cs="Times New Roman"/>
        </w:rPr>
      </w:pPr>
      <w:r w:rsidRPr="000640FD">
        <w:rPr>
          <w:rFonts w:cs="Times New Roman"/>
          <w:b/>
          <w:bCs/>
        </w:rPr>
        <w:t>5. Structure of the thesis</w:t>
      </w:r>
    </w:p>
    <w:p w:rsidR="00A70290" w:rsidRDefault="00A70290" w:rsidP="000640FD">
      <w:pPr>
        <w:contextualSpacing/>
        <w:jc w:val="both"/>
        <w:rPr>
          <w:rFonts w:cs="Times New Roman"/>
          <w:u w:val="single"/>
        </w:rPr>
      </w:pPr>
    </w:p>
    <w:p w:rsidR="00514C29" w:rsidRPr="000640FD" w:rsidRDefault="00E47ED4" w:rsidP="000640FD">
      <w:pPr>
        <w:contextualSpacing/>
        <w:jc w:val="both"/>
        <w:rPr>
          <w:rFonts w:cs="Times New Roman"/>
          <w:u w:val="single"/>
        </w:rPr>
      </w:pPr>
      <w:r w:rsidRPr="000640FD">
        <w:rPr>
          <w:rFonts w:cs="Times New Roman"/>
          <w:u w:val="single"/>
        </w:rPr>
        <w:t>Chapter 1:</w:t>
      </w:r>
      <w:r w:rsidR="00E3475C" w:rsidRPr="000640FD">
        <w:rPr>
          <w:rFonts w:cs="Times New Roman"/>
          <w:u w:val="single"/>
        </w:rPr>
        <w:t xml:space="preserve"> Introduction.</w:t>
      </w:r>
    </w:p>
    <w:p w:rsidR="008632C7" w:rsidRPr="000640FD" w:rsidRDefault="00674A8C" w:rsidP="000640FD">
      <w:pPr>
        <w:contextualSpacing/>
        <w:jc w:val="both"/>
        <w:rPr>
          <w:rFonts w:cs="Times New Roman"/>
        </w:rPr>
      </w:pPr>
      <w:r w:rsidRPr="000640FD">
        <w:rPr>
          <w:rFonts w:cs="Times New Roman"/>
        </w:rPr>
        <w:tab/>
      </w:r>
      <w:r w:rsidR="00514C29" w:rsidRPr="000640FD">
        <w:rPr>
          <w:rFonts w:cs="Times New Roman"/>
        </w:rPr>
        <w:t xml:space="preserve">Section 1: Introduction and problem statement. </w:t>
      </w:r>
    </w:p>
    <w:p w:rsidR="00514C29" w:rsidRPr="000640FD" w:rsidRDefault="00674A8C" w:rsidP="000640FD">
      <w:pPr>
        <w:contextualSpacing/>
        <w:jc w:val="both"/>
        <w:rPr>
          <w:rFonts w:cs="Times New Roman"/>
        </w:rPr>
      </w:pPr>
      <w:r w:rsidRPr="000640FD">
        <w:rPr>
          <w:rFonts w:cs="Times New Roman"/>
        </w:rPr>
        <w:tab/>
      </w:r>
      <w:r w:rsidR="00514C29" w:rsidRPr="000640FD">
        <w:rPr>
          <w:rFonts w:cs="Times New Roman"/>
        </w:rPr>
        <w:t>Section 2: Purpose of the paper.</w:t>
      </w:r>
    </w:p>
    <w:p w:rsidR="00514C29" w:rsidRPr="000640FD" w:rsidRDefault="00674A8C" w:rsidP="000640FD">
      <w:pPr>
        <w:contextualSpacing/>
        <w:jc w:val="both"/>
        <w:rPr>
          <w:rFonts w:cs="Times New Roman"/>
        </w:rPr>
      </w:pPr>
      <w:r w:rsidRPr="000640FD">
        <w:rPr>
          <w:rFonts w:cs="Times New Roman"/>
        </w:rPr>
        <w:tab/>
      </w:r>
      <w:r w:rsidR="00514C29" w:rsidRPr="000640FD">
        <w:rPr>
          <w:rFonts w:cs="Times New Roman"/>
        </w:rPr>
        <w:t>Section 3: Scope of the paper.</w:t>
      </w:r>
    </w:p>
    <w:p w:rsidR="00E3475C" w:rsidRPr="000640FD" w:rsidRDefault="00E3475C" w:rsidP="000640FD">
      <w:pPr>
        <w:contextualSpacing/>
        <w:jc w:val="both"/>
        <w:rPr>
          <w:rFonts w:cs="Times New Roman"/>
        </w:rPr>
      </w:pPr>
    </w:p>
    <w:p w:rsidR="00E3475C" w:rsidRPr="000640FD" w:rsidRDefault="00E3475C" w:rsidP="000640FD">
      <w:pPr>
        <w:contextualSpacing/>
        <w:jc w:val="both"/>
        <w:rPr>
          <w:rFonts w:cs="Times New Roman"/>
        </w:rPr>
      </w:pPr>
      <w:r w:rsidRPr="000640FD">
        <w:rPr>
          <w:rFonts w:cs="Times New Roman"/>
          <w:u w:val="single"/>
        </w:rPr>
        <w:t>Chapter 2</w:t>
      </w:r>
      <w:r w:rsidR="00E47ED4" w:rsidRPr="000640FD">
        <w:rPr>
          <w:rFonts w:cs="Times New Roman"/>
          <w:u w:val="single"/>
        </w:rPr>
        <w:t>:</w:t>
      </w:r>
      <w:r w:rsidRPr="000640FD">
        <w:rPr>
          <w:rFonts w:cs="Times New Roman"/>
          <w:u w:val="single"/>
        </w:rPr>
        <w:t xml:space="preserve"> The historical development and underlying principles of the South African Competition Act.</w:t>
      </w:r>
      <w:r w:rsidRPr="000640FD">
        <w:rPr>
          <w:rStyle w:val="FootnoteReference"/>
          <w:rFonts w:cs="Times New Roman"/>
        </w:rPr>
        <w:footnoteReference w:id="37"/>
      </w:r>
    </w:p>
    <w:p w:rsidR="00E3475C" w:rsidRPr="000640FD" w:rsidRDefault="00674A8C" w:rsidP="000640FD">
      <w:pPr>
        <w:contextualSpacing/>
        <w:jc w:val="both"/>
        <w:rPr>
          <w:rFonts w:cs="Times New Roman"/>
        </w:rPr>
      </w:pPr>
      <w:r w:rsidRPr="000640FD">
        <w:rPr>
          <w:rFonts w:cs="Times New Roman"/>
        </w:rPr>
        <w:tab/>
      </w:r>
      <w:r w:rsidR="00E3475C" w:rsidRPr="000640FD">
        <w:rPr>
          <w:rFonts w:cs="Times New Roman"/>
        </w:rPr>
        <w:t>Section 1: Historical development of the South African Competition Act.</w:t>
      </w:r>
      <w:r w:rsidR="00E3475C" w:rsidRPr="000640FD">
        <w:rPr>
          <w:rStyle w:val="FootnoteReference"/>
          <w:rFonts w:cs="Times New Roman"/>
        </w:rPr>
        <w:footnoteReference w:id="38"/>
      </w:r>
    </w:p>
    <w:p w:rsidR="00E3475C" w:rsidRPr="000640FD" w:rsidRDefault="00674A8C" w:rsidP="000640FD">
      <w:pPr>
        <w:contextualSpacing/>
        <w:jc w:val="both"/>
        <w:rPr>
          <w:rFonts w:cs="Times New Roman"/>
        </w:rPr>
      </w:pPr>
      <w:r w:rsidRPr="000640FD">
        <w:rPr>
          <w:rFonts w:cs="Times New Roman"/>
        </w:rPr>
        <w:tab/>
      </w:r>
      <w:r w:rsidR="00E3475C" w:rsidRPr="000640FD">
        <w:rPr>
          <w:rFonts w:cs="Times New Roman"/>
        </w:rPr>
        <w:t>Section 2: Purpose and objectives of the South Africa Competition Act.</w:t>
      </w:r>
      <w:r w:rsidR="00E3475C" w:rsidRPr="000640FD">
        <w:rPr>
          <w:rStyle w:val="FootnoteReference"/>
          <w:rFonts w:cs="Times New Roman"/>
        </w:rPr>
        <w:footnoteReference w:id="39"/>
      </w:r>
    </w:p>
    <w:p w:rsidR="00E3475C" w:rsidRPr="000640FD" w:rsidRDefault="00674A8C" w:rsidP="000640FD">
      <w:pPr>
        <w:contextualSpacing/>
        <w:jc w:val="both"/>
        <w:rPr>
          <w:rFonts w:cs="Times New Roman"/>
        </w:rPr>
      </w:pPr>
      <w:r w:rsidRPr="000640FD">
        <w:rPr>
          <w:rFonts w:cs="Times New Roman"/>
        </w:rPr>
        <w:tab/>
      </w:r>
      <w:r w:rsidR="00E3475C" w:rsidRPr="000640FD">
        <w:rPr>
          <w:rFonts w:cs="Times New Roman"/>
        </w:rPr>
        <w:t>Section 3: The underlying principles of the South Africa Competition Act.</w:t>
      </w:r>
      <w:r w:rsidR="00E3475C" w:rsidRPr="000640FD">
        <w:rPr>
          <w:rStyle w:val="FootnoteReference"/>
          <w:rFonts w:cs="Times New Roman"/>
        </w:rPr>
        <w:footnoteReference w:id="40"/>
      </w:r>
    </w:p>
    <w:p w:rsidR="00E3475C" w:rsidRPr="000640FD" w:rsidRDefault="00E3475C" w:rsidP="000640FD">
      <w:pPr>
        <w:contextualSpacing/>
        <w:jc w:val="both"/>
        <w:rPr>
          <w:rFonts w:cs="Times New Roman"/>
        </w:rPr>
      </w:pPr>
    </w:p>
    <w:p w:rsidR="009F58DB" w:rsidRDefault="009F58DB" w:rsidP="000640FD">
      <w:pPr>
        <w:contextualSpacing/>
        <w:jc w:val="both"/>
        <w:rPr>
          <w:rFonts w:cs="Times New Roman"/>
          <w:u w:val="single"/>
        </w:rPr>
      </w:pPr>
    </w:p>
    <w:p w:rsidR="009F58DB" w:rsidRDefault="009F58DB" w:rsidP="000640FD">
      <w:pPr>
        <w:contextualSpacing/>
        <w:jc w:val="both"/>
        <w:rPr>
          <w:rFonts w:cs="Times New Roman"/>
          <w:u w:val="single"/>
        </w:rPr>
      </w:pPr>
    </w:p>
    <w:p w:rsidR="009F58DB" w:rsidRDefault="009F58DB" w:rsidP="000640FD">
      <w:pPr>
        <w:contextualSpacing/>
        <w:jc w:val="both"/>
        <w:rPr>
          <w:rFonts w:cs="Times New Roman"/>
          <w:u w:val="single"/>
        </w:rPr>
      </w:pPr>
    </w:p>
    <w:p w:rsidR="00E3475C" w:rsidRPr="000640FD" w:rsidRDefault="00E3475C" w:rsidP="000640FD">
      <w:pPr>
        <w:contextualSpacing/>
        <w:jc w:val="both"/>
        <w:rPr>
          <w:rFonts w:cs="Times New Roman"/>
        </w:rPr>
      </w:pPr>
      <w:r w:rsidRPr="000640FD">
        <w:rPr>
          <w:rFonts w:cs="Times New Roman"/>
          <w:u w:val="single"/>
        </w:rPr>
        <w:lastRenderedPageBreak/>
        <w:t>Chapter 3</w:t>
      </w:r>
      <w:r w:rsidR="00E47ED4" w:rsidRPr="000640FD">
        <w:rPr>
          <w:rFonts w:cs="Times New Roman"/>
          <w:u w:val="single"/>
        </w:rPr>
        <w:t>:</w:t>
      </w:r>
      <w:r w:rsidRPr="000640FD">
        <w:rPr>
          <w:rFonts w:cs="Times New Roman"/>
          <w:u w:val="single"/>
        </w:rPr>
        <w:t xml:space="preserve"> The South African Competition Act.</w:t>
      </w:r>
      <w:r w:rsidRPr="000640FD">
        <w:rPr>
          <w:rStyle w:val="FootnoteReference"/>
          <w:rFonts w:cs="Times New Roman"/>
        </w:rPr>
        <w:footnoteReference w:id="41"/>
      </w:r>
    </w:p>
    <w:p w:rsidR="00674A8C" w:rsidRPr="000640FD" w:rsidRDefault="00674A8C" w:rsidP="000640FD">
      <w:pPr>
        <w:contextualSpacing/>
        <w:jc w:val="both"/>
        <w:rPr>
          <w:rFonts w:cs="Times New Roman"/>
        </w:rPr>
      </w:pPr>
      <w:r w:rsidRPr="000640FD">
        <w:rPr>
          <w:rFonts w:cs="Times New Roman"/>
        </w:rPr>
        <w:tab/>
        <w:t xml:space="preserve">Section 1: Definition and </w:t>
      </w:r>
      <w:r w:rsidR="00C55F8B" w:rsidRPr="00906E6C">
        <w:rPr>
          <w:rFonts w:cs="Times New Roman"/>
        </w:rPr>
        <w:t>necessity</w:t>
      </w:r>
      <w:r w:rsidRPr="000640FD">
        <w:rPr>
          <w:rFonts w:cs="Times New Roman"/>
        </w:rPr>
        <w:t xml:space="preserve"> for the efficiency defence. </w:t>
      </w:r>
    </w:p>
    <w:p w:rsidR="00C55F8B" w:rsidRPr="000640FD" w:rsidRDefault="00C55F8B" w:rsidP="000640FD">
      <w:pPr>
        <w:contextualSpacing/>
        <w:jc w:val="both"/>
        <w:rPr>
          <w:rFonts w:cs="Times New Roman"/>
        </w:rPr>
      </w:pPr>
      <w:r w:rsidRPr="000640FD">
        <w:rPr>
          <w:rFonts w:cs="Times New Roman"/>
        </w:rPr>
        <w:tab/>
        <w:t xml:space="preserve">Section 2: </w:t>
      </w:r>
      <w:r w:rsidR="00E47ED4" w:rsidRPr="000640FD">
        <w:rPr>
          <w:rFonts w:cs="Times New Roman"/>
        </w:rPr>
        <w:t xml:space="preserve">The onus </w:t>
      </w:r>
      <w:r w:rsidRPr="000640FD">
        <w:rPr>
          <w:rFonts w:cs="Times New Roman"/>
        </w:rPr>
        <w:t>of the efficiency defence</w:t>
      </w:r>
      <w:r w:rsidR="00E47ED4" w:rsidRPr="000640FD">
        <w:rPr>
          <w:rFonts w:cs="Times New Roman"/>
        </w:rPr>
        <w:t xml:space="preserve"> and the circumstances in which it can be used.</w:t>
      </w:r>
    </w:p>
    <w:p w:rsidR="00C55F8B" w:rsidRPr="000640FD" w:rsidRDefault="00C55F8B" w:rsidP="000640FD">
      <w:pPr>
        <w:contextualSpacing/>
        <w:jc w:val="both"/>
        <w:rPr>
          <w:rFonts w:cs="Times New Roman"/>
        </w:rPr>
      </w:pPr>
      <w:r w:rsidRPr="000640FD">
        <w:rPr>
          <w:rFonts w:cs="Times New Roman"/>
        </w:rPr>
        <w:tab/>
        <w:t xml:space="preserve">Section 3: </w:t>
      </w:r>
      <w:r w:rsidR="00DD2AB8" w:rsidRPr="000640FD">
        <w:rPr>
          <w:rFonts w:cs="Times New Roman"/>
        </w:rPr>
        <w:t>Miscellaneous prerequisites for the efficiency defence.</w:t>
      </w:r>
    </w:p>
    <w:p w:rsidR="00C55F8B" w:rsidRPr="000640FD" w:rsidRDefault="00C55F8B" w:rsidP="000640FD">
      <w:pPr>
        <w:contextualSpacing/>
        <w:jc w:val="both"/>
        <w:rPr>
          <w:rFonts w:cs="Times New Roman"/>
        </w:rPr>
      </w:pPr>
      <w:r w:rsidRPr="000640FD">
        <w:rPr>
          <w:rFonts w:cs="Times New Roman"/>
        </w:rPr>
        <w:tab/>
        <w:t>Section 4: The relevant market.</w:t>
      </w:r>
    </w:p>
    <w:p w:rsidR="00C55F8B" w:rsidRPr="000640FD" w:rsidRDefault="00C55F8B" w:rsidP="000640FD">
      <w:pPr>
        <w:contextualSpacing/>
        <w:jc w:val="both"/>
        <w:rPr>
          <w:rFonts w:cs="Times New Roman"/>
        </w:rPr>
      </w:pPr>
      <w:r w:rsidRPr="000640FD">
        <w:rPr>
          <w:rFonts w:cs="Times New Roman"/>
        </w:rPr>
        <w:tab/>
        <w:t xml:space="preserve">Section 5: Definition and measurement of the potential anti-competitive </w:t>
      </w:r>
      <w:r w:rsidR="0025417C" w:rsidRPr="000640FD">
        <w:rPr>
          <w:rFonts w:cs="Times New Roman"/>
        </w:rPr>
        <w:t>effects</w:t>
      </w:r>
      <w:r w:rsidRPr="000640FD">
        <w:rPr>
          <w:rFonts w:cs="Times New Roman"/>
        </w:rPr>
        <w:t>.</w:t>
      </w:r>
    </w:p>
    <w:p w:rsidR="009F1E18" w:rsidRPr="000640FD" w:rsidRDefault="009F1E18" w:rsidP="000640FD">
      <w:pPr>
        <w:contextualSpacing/>
        <w:jc w:val="both"/>
        <w:rPr>
          <w:rFonts w:cs="Times New Roman"/>
        </w:rPr>
      </w:pPr>
    </w:p>
    <w:p w:rsidR="009F1E18" w:rsidRPr="000640FD" w:rsidRDefault="00E47ED4" w:rsidP="000640FD">
      <w:pPr>
        <w:contextualSpacing/>
        <w:jc w:val="both"/>
        <w:rPr>
          <w:rFonts w:cs="Times New Roman"/>
          <w:u w:val="single"/>
        </w:rPr>
      </w:pPr>
      <w:r w:rsidRPr="000640FD">
        <w:rPr>
          <w:rFonts w:cs="Times New Roman"/>
          <w:u w:val="single"/>
        </w:rPr>
        <w:t>Chapter 4: The efficiency defence.</w:t>
      </w:r>
      <w:r w:rsidR="009F1E18" w:rsidRPr="000640FD">
        <w:rPr>
          <w:rFonts w:cs="Times New Roman"/>
          <w:u w:val="single"/>
        </w:rPr>
        <w:t xml:space="preserve"> </w:t>
      </w:r>
    </w:p>
    <w:p w:rsidR="00E47ED4" w:rsidRPr="000640FD" w:rsidRDefault="00907BB7" w:rsidP="000640FD">
      <w:pPr>
        <w:contextualSpacing/>
        <w:jc w:val="both"/>
        <w:rPr>
          <w:rFonts w:cs="Times New Roman"/>
        </w:rPr>
      </w:pPr>
      <w:r w:rsidRPr="000640FD">
        <w:rPr>
          <w:rFonts w:cs="Times New Roman"/>
        </w:rPr>
        <w:tab/>
      </w:r>
      <w:r w:rsidR="00E47ED4" w:rsidRPr="000640FD">
        <w:rPr>
          <w:rFonts w:cs="Times New Roman"/>
        </w:rPr>
        <w:t>Section 1: Requirements and verification of the efficiency defence.</w:t>
      </w:r>
    </w:p>
    <w:p w:rsidR="00E47ED4" w:rsidRPr="000640FD" w:rsidRDefault="00907BB7" w:rsidP="000640FD">
      <w:pPr>
        <w:contextualSpacing/>
        <w:jc w:val="both"/>
        <w:rPr>
          <w:rFonts w:cs="Times New Roman"/>
        </w:rPr>
      </w:pPr>
      <w:r w:rsidRPr="000640FD">
        <w:rPr>
          <w:rFonts w:cs="Times New Roman"/>
        </w:rPr>
        <w:tab/>
      </w:r>
      <w:r w:rsidR="00E47ED4" w:rsidRPr="000640FD">
        <w:rPr>
          <w:rFonts w:cs="Times New Roman"/>
        </w:rPr>
        <w:t xml:space="preserve">Section 2: </w:t>
      </w:r>
      <w:r w:rsidR="00942376" w:rsidRPr="000640FD">
        <w:rPr>
          <w:rFonts w:cs="Times New Roman"/>
        </w:rPr>
        <w:t>Types of efficiencies recognised and the reason for their recognition.</w:t>
      </w:r>
    </w:p>
    <w:p w:rsidR="00942376" w:rsidRPr="000640FD" w:rsidRDefault="00907BB7" w:rsidP="000640FD">
      <w:pPr>
        <w:ind w:left="709"/>
        <w:contextualSpacing/>
        <w:jc w:val="both"/>
        <w:rPr>
          <w:rFonts w:cs="Times New Roman"/>
        </w:rPr>
      </w:pPr>
      <w:r w:rsidRPr="000640FD">
        <w:rPr>
          <w:rFonts w:cs="Times New Roman"/>
        </w:rPr>
        <w:tab/>
      </w:r>
      <w:r w:rsidR="00942376" w:rsidRPr="000640FD">
        <w:rPr>
          <w:rFonts w:cs="Times New Roman"/>
        </w:rPr>
        <w:t>Section 3: Types of technological and other pro-competitive gains recognised and the reason</w:t>
      </w:r>
      <w:r w:rsidR="00151B0E" w:rsidRPr="000640FD">
        <w:rPr>
          <w:rFonts w:cs="Times New Roman"/>
        </w:rPr>
        <w:t xml:space="preserve"> </w:t>
      </w:r>
      <w:r w:rsidR="00942376" w:rsidRPr="000640FD">
        <w:rPr>
          <w:rFonts w:cs="Times New Roman"/>
        </w:rPr>
        <w:t>for their recognition.</w:t>
      </w:r>
    </w:p>
    <w:p w:rsidR="00942376" w:rsidRPr="000640FD" w:rsidRDefault="00907BB7" w:rsidP="000640FD">
      <w:pPr>
        <w:contextualSpacing/>
        <w:jc w:val="both"/>
        <w:rPr>
          <w:rFonts w:cs="Times New Roman"/>
        </w:rPr>
      </w:pPr>
      <w:r w:rsidRPr="000640FD">
        <w:rPr>
          <w:rFonts w:cs="Times New Roman"/>
        </w:rPr>
        <w:tab/>
      </w:r>
      <w:r w:rsidR="00942376" w:rsidRPr="000640FD">
        <w:rPr>
          <w:rFonts w:cs="Times New Roman"/>
        </w:rPr>
        <w:t>Section 4: Balancing the efficiency defence against the potential anti-competitive effects.</w:t>
      </w:r>
    </w:p>
    <w:p w:rsidR="00942376" w:rsidRPr="000640FD" w:rsidRDefault="00907BB7" w:rsidP="000640FD">
      <w:pPr>
        <w:contextualSpacing/>
        <w:jc w:val="both"/>
        <w:rPr>
          <w:rFonts w:cs="Times New Roman"/>
        </w:rPr>
      </w:pPr>
      <w:r w:rsidRPr="000640FD">
        <w:rPr>
          <w:rFonts w:cs="Times New Roman"/>
        </w:rPr>
        <w:tab/>
      </w:r>
      <w:r w:rsidR="00942376" w:rsidRPr="000640FD">
        <w:rPr>
          <w:rFonts w:cs="Times New Roman"/>
        </w:rPr>
        <w:t>Section 5: Who should benefit from the efficiency defence?</w:t>
      </w:r>
    </w:p>
    <w:p w:rsidR="00942376" w:rsidRPr="000640FD" w:rsidRDefault="00942376" w:rsidP="000640FD">
      <w:pPr>
        <w:contextualSpacing/>
        <w:jc w:val="both"/>
        <w:rPr>
          <w:rFonts w:cs="Times New Roman"/>
        </w:rPr>
      </w:pPr>
    </w:p>
    <w:p w:rsidR="00942376" w:rsidRPr="000640FD" w:rsidRDefault="00942376" w:rsidP="000640FD">
      <w:pPr>
        <w:contextualSpacing/>
        <w:jc w:val="both"/>
        <w:rPr>
          <w:rFonts w:cs="Times New Roman"/>
          <w:u w:val="single"/>
        </w:rPr>
      </w:pPr>
      <w:r w:rsidRPr="000640FD">
        <w:rPr>
          <w:rFonts w:cs="Times New Roman"/>
          <w:u w:val="single"/>
        </w:rPr>
        <w:t xml:space="preserve">Chapter 5: Other </w:t>
      </w:r>
      <w:r w:rsidR="00907BB7" w:rsidRPr="000640FD">
        <w:rPr>
          <w:rFonts w:cs="Times New Roman"/>
          <w:u w:val="single"/>
        </w:rPr>
        <w:t>policy considerations.</w:t>
      </w:r>
    </w:p>
    <w:p w:rsidR="00907BB7" w:rsidRPr="000640FD" w:rsidRDefault="00907BB7" w:rsidP="000640FD">
      <w:pPr>
        <w:contextualSpacing/>
        <w:jc w:val="both"/>
        <w:rPr>
          <w:rFonts w:cs="Times New Roman"/>
        </w:rPr>
      </w:pPr>
      <w:r w:rsidRPr="000640FD">
        <w:rPr>
          <w:rFonts w:cs="Times New Roman"/>
        </w:rPr>
        <w:tab/>
        <w:t xml:space="preserve">Section 1: Should the </w:t>
      </w:r>
      <w:r w:rsidR="00993DE5" w:rsidRPr="000640FD">
        <w:rPr>
          <w:rFonts w:cs="Times New Roman"/>
        </w:rPr>
        <w:t xml:space="preserve">South African </w:t>
      </w:r>
      <w:r w:rsidRPr="000640FD">
        <w:rPr>
          <w:rFonts w:cs="Times New Roman"/>
        </w:rPr>
        <w:t>Competition Act</w:t>
      </w:r>
      <w:r w:rsidRPr="000640FD">
        <w:rPr>
          <w:rStyle w:val="FootnoteReference"/>
          <w:rFonts w:cs="Times New Roman"/>
        </w:rPr>
        <w:footnoteReference w:id="42"/>
      </w:r>
      <w:r w:rsidRPr="000640FD">
        <w:rPr>
          <w:rFonts w:cs="Times New Roman"/>
        </w:rPr>
        <w:t xml:space="preserve"> contain an efficiency defence?</w:t>
      </w:r>
    </w:p>
    <w:p w:rsidR="00907BB7" w:rsidRPr="000640FD" w:rsidRDefault="00907BB7" w:rsidP="000640FD">
      <w:pPr>
        <w:contextualSpacing/>
        <w:jc w:val="both"/>
        <w:rPr>
          <w:rFonts w:cs="Times New Roman"/>
        </w:rPr>
      </w:pPr>
      <w:r w:rsidRPr="000640FD">
        <w:rPr>
          <w:rFonts w:cs="Times New Roman"/>
        </w:rPr>
        <w:tab/>
        <w:t>Section 2: The public interest defence.</w:t>
      </w:r>
    </w:p>
    <w:p w:rsidR="002C6B5A" w:rsidRPr="000640FD" w:rsidRDefault="002C6B5A" w:rsidP="000640FD">
      <w:pPr>
        <w:contextualSpacing/>
        <w:jc w:val="both"/>
        <w:rPr>
          <w:rFonts w:cs="Times New Roman"/>
        </w:rPr>
      </w:pPr>
    </w:p>
    <w:p w:rsidR="002C6B5A" w:rsidRPr="000640FD" w:rsidRDefault="002C6B5A" w:rsidP="000640FD">
      <w:pPr>
        <w:contextualSpacing/>
        <w:jc w:val="both"/>
        <w:rPr>
          <w:rFonts w:cs="Times New Roman"/>
          <w:u w:val="single"/>
        </w:rPr>
      </w:pPr>
      <w:r w:rsidRPr="000640FD">
        <w:rPr>
          <w:rFonts w:cs="Times New Roman"/>
          <w:u w:val="single"/>
        </w:rPr>
        <w:t>Chapter 6: Conclusion.</w:t>
      </w:r>
    </w:p>
    <w:p w:rsidR="002C6B5A" w:rsidRPr="000640FD" w:rsidRDefault="002C6B5A" w:rsidP="000640FD">
      <w:pPr>
        <w:contextualSpacing/>
        <w:jc w:val="both"/>
        <w:rPr>
          <w:rFonts w:cs="Times New Roman"/>
        </w:rPr>
      </w:pPr>
      <w:r w:rsidRPr="000640FD">
        <w:rPr>
          <w:rFonts w:cs="Times New Roman"/>
        </w:rPr>
        <w:tab/>
        <w:t xml:space="preserve">Section 1: </w:t>
      </w:r>
      <w:r w:rsidR="00CA503D" w:rsidRPr="000640FD">
        <w:rPr>
          <w:rFonts w:cs="Times New Roman"/>
        </w:rPr>
        <w:t>Concluding remarks</w:t>
      </w:r>
      <w:r w:rsidRPr="000640FD">
        <w:rPr>
          <w:rFonts w:cs="Times New Roman"/>
        </w:rPr>
        <w:t>.</w:t>
      </w:r>
    </w:p>
    <w:p w:rsidR="00942376" w:rsidRPr="000640FD" w:rsidRDefault="00942376" w:rsidP="000640FD">
      <w:pPr>
        <w:contextualSpacing/>
        <w:rPr>
          <w:rFonts w:cs="Times New Roman"/>
        </w:rPr>
      </w:pPr>
    </w:p>
    <w:p w:rsidR="007F4179" w:rsidRPr="000640FD" w:rsidRDefault="007F4179" w:rsidP="000640FD">
      <w:pPr>
        <w:contextualSpacing/>
        <w:rPr>
          <w:rFonts w:cs="Times New Roman"/>
          <w:b/>
          <w:bCs/>
        </w:rPr>
      </w:pPr>
    </w:p>
    <w:p w:rsidR="007F4179" w:rsidRPr="000640FD" w:rsidRDefault="007F4179" w:rsidP="000640FD">
      <w:pPr>
        <w:contextualSpacing/>
        <w:rPr>
          <w:rFonts w:cs="Times New Roman"/>
          <w:b/>
          <w:bCs/>
        </w:rPr>
      </w:pPr>
    </w:p>
    <w:p w:rsidR="007F4179" w:rsidRPr="000640FD" w:rsidRDefault="007F4179" w:rsidP="000640FD">
      <w:pPr>
        <w:contextualSpacing/>
        <w:rPr>
          <w:rFonts w:cs="Times New Roman"/>
          <w:b/>
          <w:bCs/>
        </w:rPr>
      </w:pPr>
    </w:p>
    <w:p w:rsidR="007F4179" w:rsidRPr="000640FD" w:rsidRDefault="007F4179" w:rsidP="000640FD">
      <w:pPr>
        <w:contextualSpacing/>
        <w:rPr>
          <w:rFonts w:cs="Times New Roman"/>
          <w:b/>
          <w:bCs/>
        </w:rPr>
      </w:pPr>
    </w:p>
    <w:p w:rsidR="007F4179" w:rsidRPr="000640FD" w:rsidRDefault="007F4179" w:rsidP="000640FD">
      <w:pPr>
        <w:contextualSpacing/>
        <w:rPr>
          <w:rFonts w:cs="Times New Roman"/>
          <w:b/>
          <w:bCs/>
        </w:rPr>
      </w:pPr>
    </w:p>
    <w:p w:rsidR="007F4179" w:rsidRPr="000640FD" w:rsidRDefault="007F4179" w:rsidP="000640FD">
      <w:pPr>
        <w:contextualSpacing/>
        <w:rPr>
          <w:rFonts w:cs="Times New Roman"/>
          <w:b/>
          <w:bCs/>
        </w:rPr>
      </w:pPr>
    </w:p>
    <w:p w:rsidR="007F4179" w:rsidRPr="000640FD" w:rsidRDefault="007F4179" w:rsidP="000640FD">
      <w:pPr>
        <w:contextualSpacing/>
        <w:rPr>
          <w:rFonts w:cs="Times New Roman"/>
          <w:b/>
          <w:bCs/>
        </w:rPr>
      </w:pPr>
    </w:p>
    <w:p w:rsidR="007F4179" w:rsidRPr="000640FD" w:rsidRDefault="007F4179" w:rsidP="000640FD">
      <w:pPr>
        <w:contextualSpacing/>
        <w:rPr>
          <w:rFonts w:cs="Times New Roman"/>
          <w:b/>
          <w:bCs/>
        </w:rPr>
      </w:pPr>
    </w:p>
    <w:p w:rsidR="007F4179" w:rsidRPr="000640FD" w:rsidRDefault="007F4179" w:rsidP="000640FD">
      <w:pPr>
        <w:contextualSpacing/>
        <w:rPr>
          <w:rFonts w:cs="Times New Roman"/>
          <w:b/>
          <w:bCs/>
        </w:rPr>
      </w:pPr>
    </w:p>
    <w:p w:rsidR="007F4179" w:rsidRPr="000640FD" w:rsidRDefault="007F4179" w:rsidP="000640FD">
      <w:pPr>
        <w:contextualSpacing/>
        <w:rPr>
          <w:rFonts w:cs="Times New Roman"/>
          <w:b/>
          <w:bCs/>
        </w:rPr>
      </w:pPr>
    </w:p>
    <w:p w:rsidR="007F4179" w:rsidRPr="000640FD" w:rsidRDefault="007F4179" w:rsidP="000640FD">
      <w:pPr>
        <w:contextualSpacing/>
        <w:rPr>
          <w:rFonts w:cs="Times New Roman"/>
          <w:b/>
          <w:bCs/>
        </w:rPr>
      </w:pPr>
    </w:p>
    <w:p w:rsidR="008632C7" w:rsidRPr="000640FD" w:rsidRDefault="002E7196" w:rsidP="002C732F">
      <w:pPr>
        <w:contextualSpacing/>
        <w:jc w:val="center"/>
        <w:rPr>
          <w:rFonts w:cs="Times New Roman"/>
        </w:rPr>
      </w:pPr>
      <w:r w:rsidRPr="000640FD">
        <w:rPr>
          <w:rFonts w:cs="Times New Roman"/>
          <w:b/>
          <w:bCs/>
        </w:rPr>
        <w:lastRenderedPageBreak/>
        <w:t>6. Preliminary study</w:t>
      </w:r>
    </w:p>
    <w:p w:rsidR="00790CB2" w:rsidRPr="000640FD" w:rsidRDefault="00790CB2" w:rsidP="000640FD">
      <w:pPr>
        <w:contextualSpacing/>
        <w:jc w:val="both"/>
        <w:rPr>
          <w:rFonts w:cs="Times New Roman"/>
          <w:i/>
        </w:rPr>
      </w:pPr>
    </w:p>
    <w:p w:rsidR="00790CB2" w:rsidRPr="000640FD" w:rsidRDefault="00790CB2" w:rsidP="000640FD">
      <w:pPr>
        <w:contextualSpacing/>
        <w:jc w:val="both"/>
        <w:rPr>
          <w:rFonts w:cs="Times New Roman"/>
        </w:rPr>
      </w:pPr>
      <w:r w:rsidRPr="000640FD">
        <w:rPr>
          <w:rFonts w:cs="Times New Roman"/>
          <w:i/>
        </w:rPr>
        <w:t>American Soda Ash Corporation/ Competition Commission of South Africa case no 12/CAC/Dec01</w:t>
      </w:r>
    </w:p>
    <w:p w:rsidR="00790CB2" w:rsidRPr="000640FD" w:rsidRDefault="00790CB2" w:rsidP="000640FD">
      <w:pPr>
        <w:contextualSpacing/>
        <w:jc w:val="both"/>
        <w:rPr>
          <w:rFonts w:cs="Times New Roman"/>
        </w:rPr>
      </w:pPr>
      <w:r w:rsidRPr="000640FD">
        <w:rPr>
          <w:rFonts w:cs="Times New Roman"/>
        </w:rPr>
        <w:t xml:space="preserve">(This </w:t>
      </w:r>
      <w:r w:rsidR="001A4E88" w:rsidRPr="000640FD">
        <w:rPr>
          <w:rFonts w:cs="Times New Roman"/>
        </w:rPr>
        <w:t xml:space="preserve">case </w:t>
      </w:r>
      <w:r w:rsidRPr="000640FD">
        <w:rPr>
          <w:rFonts w:cs="Times New Roman"/>
        </w:rPr>
        <w:t>examines the jurisdiction of the efficiency defence in South African competition matters.)</w:t>
      </w:r>
    </w:p>
    <w:p w:rsidR="00790CB2" w:rsidRPr="000640FD" w:rsidRDefault="00790CB2" w:rsidP="000640FD">
      <w:pPr>
        <w:contextualSpacing/>
        <w:rPr>
          <w:rFonts w:cs="Times New Roman"/>
        </w:rPr>
      </w:pPr>
    </w:p>
    <w:p w:rsidR="004B02C9" w:rsidRPr="000640FD" w:rsidRDefault="004B02C9" w:rsidP="000640FD">
      <w:pPr>
        <w:contextualSpacing/>
        <w:rPr>
          <w:rFonts w:cs="Times New Roman"/>
        </w:rPr>
      </w:pPr>
      <w:r w:rsidRPr="000640FD">
        <w:rPr>
          <w:rFonts w:cs="Times New Roman"/>
        </w:rPr>
        <w:t>Blignaut L and du Plessis L and Lurie J</w:t>
      </w:r>
    </w:p>
    <w:p w:rsidR="00543644" w:rsidRPr="000640FD" w:rsidRDefault="004B02C9" w:rsidP="000640FD">
      <w:pPr>
        <w:contextualSpacing/>
        <w:rPr>
          <w:rFonts w:cs="Times New Roman"/>
        </w:rPr>
      </w:pPr>
      <w:r w:rsidRPr="000640FD">
        <w:rPr>
          <w:rFonts w:cs="Times New Roman"/>
        </w:rPr>
        <w:t xml:space="preserve">2009. </w:t>
      </w:r>
      <w:r w:rsidR="00543644" w:rsidRPr="000640FD">
        <w:rPr>
          <w:rFonts w:cs="Times New Roman"/>
          <w:i/>
        </w:rPr>
        <w:t>Vertical Integration and the Refusal to Supply Scarce Goods – A Legal and Economic Framework for Analysis of Prohibited Practices</w:t>
      </w:r>
      <w:r w:rsidR="00543644" w:rsidRPr="000640FD">
        <w:rPr>
          <w:rFonts w:cs="Times New Roman"/>
        </w:rPr>
        <w:t xml:space="preserve">. http://www.compcom.co.za/assets/Uploads/events/Fourth-Competition-Law-Conferece/Session-3A/Vertical-integration-and-refusal-to-supply-scarce-goods-LB-LdP-JL-final.pdf </w:t>
      </w:r>
    </w:p>
    <w:p w:rsidR="00543644" w:rsidRPr="000640FD" w:rsidRDefault="00543644" w:rsidP="000640FD">
      <w:pPr>
        <w:contextualSpacing/>
        <w:rPr>
          <w:rFonts w:cs="Times New Roman"/>
        </w:rPr>
      </w:pPr>
      <w:r w:rsidRPr="000640FD">
        <w:rPr>
          <w:rFonts w:cs="Times New Roman"/>
        </w:rPr>
        <w:t>(accessed on 4 March 2001)</w:t>
      </w:r>
    </w:p>
    <w:p w:rsidR="00543644" w:rsidRPr="000640FD" w:rsidRDefault="00543644" w:rsidP="000640FD">
      <w:pPr>
        <w:contextualSpacing/>
        <w:rPr>
          <w:rFonts w:cs="Times New Roman"/>
        </w:rPr>
      </w:pPr>
      <w:r w:rsidRPr="000640FD">
        <w:rPr>
          <w:rFonts w:cs="Times New Roman"/>
        </w:rPr>
        <w:t>(This</w:t>
      </w:r>
      <w:r w:rsidR="00754B4E" w:rsidRPr="000640FD">
        <w:rPr>
          <w:rFonts w:cs="Times New Roman"/>
        </w:rPr>
        <w:t xml:space="preserve"> </w:t>
      </w:r>
      <w:r w:rsidR="00580399">
        <w:rPr>
          <w:rFonts w:cs="Times New Roman"/>
        </w:rPr>
        <w:t>article</w:t>
      </w:r>
      <w:r w:rsidR="00754B4E" w:rsidRPr="000640FD">
        <w:rPr>
          <w:rFonts w:cs="Times New Roman"/>
        </w:rPr>
        <w:t xml:space="preserve"> contains an in depth discussion on vertical mergers. More specifically this paper considers, among other things, the potential anti-competitive and pro-competitive </w:t>
      </w:r>
      <w:r w:rsidR="0025417C" w:rsidRPr="000640FD">
        <w:rPr>
          <w:rFonts w:cs="Times New Roman"/>
        </w:rPr>
        <w:t>effects</w:t>
      </w:r>
      <w:r w:rsidR="00754B4E" w:rsidRPr="000640FD">
        <w:rPr>
          <w:rFonts w:cs="Times New Roman"/>
        </w:rPr>
        <w:t xml:space="preserve"> of vertical mergers. It also contains</w:t>
      </w:r>
      <w:r w:rsidR="00AD13A0">
        <w:rPr>
          <w:rFonts w:cs="Times New Roman"/>
        </w:rPr>
        <w:t xml:space="preserve"> a discussion on</w:t>
      </w:r>
      <w:r w:rsidR="00754B4E" w:rsidRPr="000640FD">
        <w:rPr>
          <w:rFonts w:cs="Times New Roman"/>
        </w:rPr>
        <w:t xml:space="preserve"> case law on the interpretation of exclusionary acts i</w:t>
      </w:r>
      <w:r w:rsidR="00AD13A0">
        <w:rPr>
          <w:rFonts w:cs="Times New Roman"/>
        </w:rPr>
        <w:t xml:space="preserve">n South Africa and in the </w:t>
      </w:r>
      <w:r w:rsidR="00754B4E" w:rsidRPr="000640FD">
        <w:rPr>
          <w:rFonts w:cs="Times New Roman"/>
        </w:rPr>
        <w:t>European Union.</w:t>
      </w:r>
      <w:r w:rsidRPr="000640FD">
        <w:rPr>
          <w:rFonts w:cs="Times New Roman"/>
        </w:rPr>
        <w:t>)</w:t>
      </w:r>
    </w:p>
    <w:p w:rsidR="00023417" w:rsidRPr="000640FD" w:rsidRDefault="00023417" w:rsidP="000640FD">
      <w:pPr>
        <w:contextualSpacing/>
        <w:rPr>
          <w:rFonts w:cs="Times New Roman"/>
        </w:rPr>
      </w:pPr>
    </w:p>
    <w:p w:rsidR="00023417" w:rsidRPr="000640FD" w:rsidRDefault="00023417" w:rsidP="000640FD">
      <w:pPr>
        <w:contextualSpacing/>
        <w:rPr>
          <w:rFonts w:cs="Times New Roman"/>
        </w:rPr>
      </w:pPr>
      <w:r w:rsidRPr="000640FD">
        <w:rPr>
          <w:rFonts w:cs="Times New Roman"/>
        </w:rPr>
        <w:t>Broder DF</w:t>
      </w:r>
    </w:p>
    <w:p w:rsidR="00023417" w:rsidRPr="000640FD" w:rsidRDefault="00023417" w:rsidP="000640FD">
      <w:pPr>
        <w:contextualSpacing/>
        <w:rPr>
          <w:rFonts w:cs="Times New Roman"/>
        </w:rPr>
      </w:pPr>
      <w:r w:rsidRPr="000640FD">
        <w:rPr>
          <w:rFonts w:cs="Times New Roman"/>
        </w:rPr>
        <w:t xml:space="preserve">2005. </w:t>
      </w:r>
      <w:r w:rsidRPr="000640FD">
        <w:rPr>
          <w:rFonts w:cs="Times New Roman"/>
          <w:i/>
        </w:rPr>
        <w:t>A Guide to US Antitrust Law</w:t>
      </w:r>
      <w:r w:rsidRPr="000640FD">
        <w:rPr>
          <w:rFonts w:cs="Times New Roman"/>
        </w:rPr>
        <w:t xml:space="preserve">. </w:t>
      </w:r>
      <w:r w:rsidR="00473868" w:rsidRPr="000640FD">
        <w:rPr>
          <w:rFonts w:cs="Times New Roman"/>
        </w:rPr>
        <w:t>1</w:t>
      </w:r>
      <w:r w:rsidR="00473868" w:rsidRPr="000640FD">
        <w:rPr>
          <w:rFonts w:cs="Times New Roman"/>
          <w:vertAlign w:val="superscript"/>
        </w:rPr>
        <w:t>st</w:t>
      </w:r>
      <w:r w:rsidR="00473868" w:rsidRPr="000640FD">
        <w:rPr>
          <w:rFonts w:cs="Times New Roman"/>
        </w:rPr>
        <w:t xml:space="preserve"> ed. London: Thomson.</w:t>
      </w:r>
    </w:p>
    <w:p w:rsidR="00473868" w:rsidRPr="000640FD" w:rsidRDefault="00473868" w:rsidP="000640FD">
      <w:pPr>
        <w:contextualSpacing/>
        <w:rPr>
          <w:rFonts w:cs="Times New Roman"/>
        </w:rPr>
      </w:pPr>
      <w:r w:rsidRPr="000640FD">
        <w:rPr>
          <w:rFonts w:cs="Times New Roman"/>
        </w:rPr>
        <w:t>(This textbook contains a</w:t>
      </w:r>
      <w:r w:rsidR="00630AD1">
        <w:rPr>
          <w:rFonts w:cs="Times New Roman"/>
        </w:rPr>
        <w:t xml:space="preserve"> detailed</w:t>
      </w:r>
      <w:r w:rsidRPr="000640FD">
        <w:rPr>
          <w:rFonts w:cs="Times New Roman"/>
        </w:rPr>
        <w:t xml:space="preserve"> exposition on the competition law </w:t>
      </w:r>
      <w:r w:rsidR="00125AD4">
        <w:rPr>
          <w:rFonts w:cs="Times New Roman"/>
        </w:rPr>
        <w:t>of</w:t>
      </w:r>
      <w:r w:rsidRPr="000640FD">
        <w:rPr>
          <w:rFonts w:cs="Times New Roman"/>
        </w:rPr>
        <w:t xml:space="preserve"> the United States of America.)</w:t>
      </w:r>
    </w:p>
    <w:p w:rsidR="00543644" w:rsidRPr="000640FD" w:rsidRDefault="00543644" w:rsidP="000640FD">
      <w:pPr>
        <w:contextualSpacing/>
        <w:rPr>
          <w:rFonts w:cs="Times New Roman"/>
        </w:rPr>
      </w:pPr>
    </w:p>
    <w:p w:rsidR="00790CB2" w:rsidRPr="000640FD" w:rsidRDefault="00790CB2" w:rsidP="000640FD">
      <w:pPr>
        <w:contextualSpacing/>
        <w:rPr>
          <w:rFonts w:cs="Times New Roman"/>
        </w:rPr>
      </w:pPr>
      <w:r w:rsidRPr="000640FD">
        <w:rPr>
          <w:rFonts w:cs="Times New Roman"/>
          <w:i/>
        </w:rPr>
        <w:t>Cancun Trading No 24/Seven-Eleven Corporation SA (Pty) Ltd case no 18/IR/Dec99</w:t>
      </w:r>
    </w:p>
    <w:p w:rsidR="00790CB2" w:rsidRPr="000640FD" w:rsidRDefault="00790CB2" w:rsidP="000640FD">
      <w:pPr>
        <w:contextualSpacing/>
        <w:rPr>
          <w:rFonts w:cs="Times New Roman"/>
        </w:rPr>
      </w:pPr>
      <w:r w:rsidRPr="000640FD">
        <w:rPr>
          <w:rFonts w:cs="Times New Roman"/>
        </w:rPr>
        <w:t xml:space="preserve">(This case answers the question of whether the efficiency defence is available for </w:t>
      </w:r>
      <w:r w:rsidRPr="000640FD">
        <w:rPr>
          <w:rFonts w:cs="Times New Roman"/>
          <w:i/>
        </w:rPr>
        <w:t>per se</w:t>
      </w:r>
      <w:r w:rsidRPr="000640FD">
        <w:rPr>
          <w:rFonts w:cs="Times New Roman"/>
        </w:rPr>
        <w:t xml:space="preserve"> prohibitions.)</w:t>
      </w:r>
    </w:p>
    <w:p w:rsidR="006125A6" w:rsidRPr="000640FD" w:rsidRDefault="006125A6" w:rsidP="000640FD">
      <w:pPr>
        <w:contextualSpacing/>
        <w:rPr>
          <w:rFonts w:cs="Times New Roman"/>
        </w:rPr>
      </w:pPr>
    </w:p>
    <w:p w:rsidR="006125A6" w:rsidRPr="000640FD" w:rsidRDefault="006125A6" w:rsidP="000640FD">
      <w:pPr>
        <w:contextualSpacing/>
        <w:rPr>
          <w:rFonts w:cs="Times New Roman"/>
        </w:rPr>
      </w:pPr>
      <w:r w:rsidRPr="000640FD">
        <w:rPr>
          <w:rFonts w:cs="Times New Roman"/>
        </w:rPr>
        <w:t>Cseres KJ</w:t>
      </w:r>
    </w:p>
    <w:p w:rsidR="006125A6" w:rsidRPr="000640FD" w:rsidRDefault="006125A6" w:rsidP="000640FD">
      <w:pPr>
        <w:contextualSpacing/>
        <w:rPr>
          <w:rFonts w:cs="Times New Roman"/>
        </w:rPr>
      </w:pPr>
      <w:r w:rsidRPr="000640FD">
        <w:rPr>
          <w:rFonts w:cs="Times New Roman"/>
        </w:rPr>
        <w:t xml:space="preserve">2005. </w:t>
      </w:r>
      <w:r w:rsidRPr="000640FD">
        <w:rPr>
          <w:rFonts w:cs="Times New Roman"/>
          <w:i/>
        </w:rPr>
        <w:t>Competition Law and Consumer Protection</w:t>
      </w:r>
      <w:r w:rsidRPr="000640FD">
        <w:rPr>
          <w:rFonts w:cs="Times New Roman"/>
        </w:rPr>
        <w:t>. The Hague: Kluwer Law.</w:t>
      </w:r>
    </w:p>
    <w:p w:rsidR="006125A6" w:rsidRPr="000640FD" w:rsidRDefault="006125A6" w:rsidP="000640FD">
      <w:pPr>
        <w:contextualSpacing/>
        <w:rPr>
          <w:rFonts w:cs="Times New Roman"/>
        </w:rPr>
      </w:pPr>
      <w:r w:rsidRPr="000640FD">
        <w:rPr>
          <w:rFonts w:cs="Times New Roman"/>
        </w:rPr>
        <w:t>(This textbook contains a</w:t>
      </w:r>
      <w:r w:rsidR="00630AD1">
        <w:rPr>
          <w:rFonts w:cs="Times New Roman"/>
        </w:rPr>
        <w:t xml:space="preserve"> detailed</w:t>
      </w:r>
      <w:r w:rsidRPr="000640FD">
        <w:rPr>
          <w:rFonts w:cs="Times New Roman"/>
        </w:rPr>
        <w:t xml:space="preserve"> exposition on the relationship between consumer protection and competition law from an economic perspective.)</w:t>
      </w:r>
    </w:p>
    <w:p w:rsidR="00790CB2" w:rsidRPr="000640FD" w:rsidRDefault="00790CB2" w:rsidP="000640FD">
      <w:pPr>
        <w:contextualSpacing/>
        <w:jc w:val="both"/>
        <w:rPr>
          <w:rFonts w:cs="Times New Roman"/>
        </w:rPr>
      </w:pPr>
    </w:p>
    <w:p w:rsidR="00811405" w:rsidRDefault="00811405" w:rsidP="000640FD">
      <w:pPr>
        <w:contextualSpacing/>
        <w:rPr>
          <w:rFonts w:cs="Times New Roman"/>
        </w:rPr>
      </w:pPr>
    </w:p>
    <w:p w:rsidR="00811405" w:rsidRDefault="00811405" w:rsidP="000640FD">
      <w:pPr>
        <w:contextualSpacing/>
        <w:rPr>
          <w:rFonts w:cs="Times New Roman"/>
        </w:rPr>
      </w:pPr>
    </w:p>
    <w:p w:rsidR="00811405" w:rsidRDefault="00811405" w:rsidP="000640FD">
      <w:pPr>
        <w:contextualSpacing/>
        <w:rPr>
          <w:rFonts w:cs="Times New Roman"/>
        </w:rPr>
      </w:pPr>
    </w:p>
    <w:p w:rsidR="00811405" w:rsidRDefault="00811405" w:rsidP="000640FD">
      <w:pPr>
        <w:contextualSpacing/>
        <w:rPr>
          <w:rFonts w:cs="Times New Roman"/>
        </w:rPr>
      </w:pPr>
    </w:p>
    <w:p w:rsidR="00811405" w:rsidRDefault="00811405" w:rsidP="000640FD">
      <w:pPr>
        <w:contextualSpacing/>
        <w:rPr>
          <w:rFonts w:cs="Times New Roman"/>
        </w:rPr>
      </w:pPr>
    </w:p>
    <w:p w:rsidR="00790CB2" w:rsidRPr="000640FD" w:rsidRDefault="00790CB2" w:rsidP="000640FD">
      <w:pPr>
        <w:contextualSpacing/>
        <w:rPr>
          <w:rFonts w:cs="Times New Roman"/>
        </w:rPr>
      </w:pPr>
      <w:r w:rsidRPr="000640FD">
        <w:rPr>
          <w:rFonts w:cs="Times New Roman"/>
        </w:rPr>
        <w:lastRenderedPageBreak/>
        <w:t>Deneys Reitz Attorneys Inc.</w:t>
      </w:r>
    </w:p>
    <w:p w:rsidR="00790CB2" w:rsidRPr="000640FD" w:rsidRDefault="00790CB2" w:rsidP="000640FD">
      <w:pPr>
        <w:contextualSpacing/>
        <w:rPr>
          <w:rFonts w:cs="Times New Roman"/>
        </w:rPr>
      </w:pPr>
      <w:r w:rsidRPr="000640FD">
        <w:rPr>
          <w:rFonts w:cs="Times New Roman"/>
        </w:rPr>
        <w:t>200</w:t>
      </w:r>
      <w:r w:rsidR="002250B1" w:rsidRPr="000640FD">
        <w:rPr>
          <w:rFonts w:cs="Times New Roman"/>
        </w:rPr>
        <w:t>2</w:t>
      </w:r>
      <w:r w:rsidRPr="000640FD">
        <w:rPr>
          <w:rFonts w:cs="Times New Roman"/>
        </w:rPr>
        <w:t xml:space="preserve">. </w:t>
      </w:r>
      <w:r w:rsidRPr="000640FD">
        <w:rPr>
          <w:rFonts w:cs="Times New Roman"/>
          <w:i/>
        </w:rPr>
        <w:t>Implications for M&amp;A Activities - The Evolution of Competition Law in Relation to Mergers</w:t>
      </w:r>
      <w:r w:rsidRPr="000640FD">
        <w:rPr>
          <w:rFonts w:cs="Times New Roman"/>
        </w:rPr>
        <w:t>.</w:t>
      </w:r>
    </w:p>
    <w:p w:rsidR="00790CB2" w:rsidRPr="000640FD" w:rsidRDefault="00790CB2" w:rsidP="000640FD">
      <w:pPr>
        <w:contextualSpacing/>
        <w:rPr>
          <w:rFonts w:cs="Times New Roman"/>
        </w:rPr>
      </w:pPr>
      <w:r w:rsidRPr="000640FD">
        <w:rPr>
          <w:rFonts w:cs="Times New Roman"/>
        </w:rPr>
        <w:t>http://www.deneysreitz.co.za/index.php/tools/print/implications_for_mactivities_the_evolution_of_</w:t>
      </w:r>
    </w:p>
    <w:p w:rsidR="00790CB2" w:rsidRPr="000640FD" w:rsidRDefault="00790CB2" w:rsidP="000640FD">
      <w:pPr>
        <w:contextualSpacing/>
        <w:rPr>
          <w:rFonts w:cs="Times New Roman"/>
        </w:rPr>
      </w:pPr>
      <w:r w:rsidRPr="000640FD">
        <w:rPr>
          <w:rFonts w:cs="Times New Roman"/>
        </w:rPr>
        <w:t>compeition_law_in_relati/news (accessed on 4 March 2011)</w:t>
      </w:r>
    </w:p>
    <w:p w:rsidR="00790CB2" w:rsidRPr="000640FD" w:rsidRDefault="00790CB2" w:rsidP="000640FD">
      <w:pPr>
        <w:contextualSpacing/>
        <w:rPr>
          <w:rFonts w:cs="Times New Roman"/>
        </w:rPr>
      </w:pPr>
      <w:r w:rsidRPr="000640FD">
        <w:rPr>
          <w:rFonts w:cs="Times New Roman"/>
        </w:rPr>
        <w:t xml:space="preserve">(This article contains meaningful information in relation to the </w:t>
      </w:r>
      <w:r w:rsidR="00AD13A0">
        <w:rPr>
          <w:rFonts w:cs="Times New Roman"/>
        </w:rPr>
        <w:t>issue</w:t>
      </w:r>
      <w:r w:rsidRPr="000640FD">
        <w:rPr>
          <w:rFonts w:cs="Times New Roman"/>
        </w:rPr>
        <w:t xml:space="preserve"> </w:t>
      </w:r>
      <w:r w:rsidR="00AD13A0">
        <w:rPr>
          <w:rFonts w:cs="Times New Roman"/>
        </w:rPr>
        <w:t>discussed</w:t>
      </w:r>
      <w:r w:rsidRPr="000640FD">
        <w:rPr>
          <w:rFonts w:cs="Times New Roman"/>
        </w:rPr>
        <w:t xml:space="preserve"> in this paper with regard to mergers and joint ventures.)</w:t>
      </w:r>
    </w:p>
    <w:p w:rsidR="00790CB2" w:rsidRPr="000640FD" w:rsidRDefault="00790CB2" w:rsidP="000640FD">
      <w:pPr>
        <w:contextualSpacing/>
        <w:rPr>
          <w:rFonts w:cs="Times New Roman"/>
          <w:i/>
        </w:rPr>
      </w:pPr>
    </w:p>
    <w:p w:rsidR="00790CB2" w:rsidRPr="000640FD" w:rsidRDefault="00790CB2" w:rsidP="000640FD">
      <w:pPr>
        <w:contextualSpacing/>
        <w:rPr>
          <w:rFonts w:cs="Times New Roman"/>
          <w:i/>
        </w:rPr>
      </w:pPr>
      <w:r w:rsidRPr="000640FD">
        <w:rPr>
          <w:rFonts w:cs="Times New Roman"/>
          <w:i/>
        </w:rPr>
        <w:t>Distillers Corporation (SA) Ltd/Stellenbosch Farmers Winery Group Ltd case no 08/LM/Feb02</w:t>
      </w:r>
    </w:p>
    <w:p w:rsidR="00790CB2" w:rsidRPr="000640FD" w:rsidRDefault="00790CB2" w:rsidP="000640FD">
      <w:pPr>
        <w:contextualSpacing/>
        <w:rPr>
          <w:rFonts w:cs="Times New Roman"/>
        </w:rPr>
      </w:pPr>
      <w:r w:rsidRPr="000640FD">
        <w:rPr>
          <w:rFonts w:cs="Times New Roman"/>
        </w:rPr>
        <w:t>(This case touches upon the different requirements of the efficiency defence in South Africa</w:t>
      </w:r>
      <w:r w:rsidR="00AD13A0">
        <w:rPr>
          <w:rFonts w:cs="Times New Roman"/>
        </w:rPr>
        <w:t>n</w:t>
      </w:r>
      <w:r w:rsidRPr="000640FD">
        <w:rPr>
          <w:rFonts w:cs="Times New Roman"/>
        </w:rPr>
        <w:t xml:space="preserve"> competition matters. This case also considers the application of the public interest defence in South Africa competition matters.)</w:t>
      </w:r>
    </w:p>
    <w:p w:rsidR="00790CB2" w:rsidRPr="000640FD" w:rsidRDefault="00790CB2" w:rsidP="000640FD">
      <w:pPr>
        <w:contextualSpacing/>
        <w:rPr>
          <w:rFonts w:cs="Times New Roman"/>
        </w:rPr>
      </w:pPr>
    </w:p>
    <w:p w:rsidR="00790CB2" w:rsidRPr="000640FD" w:rsidRDefault="00790CB2" w:rsidP="000640FD">
      <w:pPr>
        <w:contextualSpacing/>
        <w:rPr>
          <w:rFonts w:cs="Times New Roman"/>
        </w:rPr>
      </w:pPr>
      <w:r w:rsidRPr="000640FD">
        <w:rPr>
          <w:rFonts w:cs="Times New Roman"/>
          <w:i/>
        </w:rPr>
        <w:t>Glaxo Wellcome (Pty) Ltd/National Association Of Pharmaceutical Wholesalers case no 15/CAC/Feb02</w:t>
      </w:r>
    </w:p>
    <w:p w:rsidR="00790CB2" w:rsidRPr="000640FD" w:rsidRDefault="00790CB2" w:rsidP="000640FD">
      <w:pPr>
        <w:contextualSpacing/>
        <w:rPr>
          <w:rFonts w:cs="Times New Roman"/>
        </w:rPr>
      </w:pPr>
      <w:r w:rsidRPr="000640FD">
        <w:rPr>
          <w:rFonts w:cs="Times New Roman"/>
        </w:rPr>
        <w:t>(This case determined that section 8(c) and 8(d) of the Competition Act 89/1998 are indeed rule of reason prohibitions and accordingly the efficiency defence is applicable on these sections.)</w:t>
      </w:r>
    </w:p>
    <w:p w:rsidR="00790CB2" w:rsidRPr="000640FD" w:rsidRDefault="00790CB2" w:rsidP="000640FD">
      <w:pPr>
        <w:contextualSpacing/>
        <w:rPr>
          <w:rFonts w:cs="Times New Roman"/>
        </w:rPr>
      </w:pPr>
    </w:p>
    <w:p w:rsidR="00790CB2" w:rsidRPr="000640FD" w:rsidRDefault="00790CB2" w:rsidP="000640FD">
      <w:pPr>
        <w:contextualSpacing/>
        <w:rPr>
          <w:rFonts w:cs="Times New Roman"/>
        </w:rPr>
      </w:pPr>
      <w:r w:rsidRPr="000640FD">
        <w:rPr>
          <w:rFonts w:cs="Times New Roman"/>
        </w:rPr>
        <w:t>Global Competition Review</w:t>
      </w:r>
    </w:p>
    <w:p w:rsidR="00790CB2" w:rsidRPr="000640FD" w:rsidRDefault="00790CB2" w:rsidP="000640FD">
      <w:pPr>
        <w:contextualSpacing/>
        <w:rPr>
          <w:rFonts w:cs="Times New Roman"/>
        </w:rPr>
      </w:pPr>
      <w:r w:rsidRPr="000640FD">
        <w:rPr>
          <w:rFonts w:cs="Times New Roman"/>
        </w:rPr>
        <w:t xml:space="preserve">2001. </w:t>
      </w:r>
      <w:r w:rsidRPr="000640FD">
        <w:rPr>
          <w:rFonts w:cs="Times New Roman"/>
          <w:i/>
        </w:rPr>
        <w:t>Merger Control 2011</w:t>
      </w:r>
      <w:r w:rsidRPr="000640FD">
        <w:rPr>
          <w:rFonts w:cs="Times New Roman"/>
        </w:rPr>
        <w:t>. 2001 ed. London: Law Business Research Ltd.</w:t>
      </w:r>
    </w:p>
    <w:p w:rsidR="00790CB2" w:rsidRPr="000640FD" w:rsidRDefault="00790CB2" w:rsidP="000640FD">
      <w:pPr>
        <w:contextualSpacing/>
        <w:rPr>
          <w:rFonts w:cs="Times New Roman"/>
        </w:rPr>
      </w:pPr>
      <w:r w:rsidRPr="000640FD">
        <w:rPr>
          <w:rFonts w:cs="Times New Roman"/>
        </w:rPr>
        <w:t>(This article contains meaningful information in relation to mergers in the context of the Competition Act 89/1998.)</w:t>
      </w:r>
    </w:p>
    <w:p w:rsidR="00790CB2" w:rsidRPr="000640FD" w:rsidRDefault="00790CB2" w:rsidP="000640FD">
      <w:pPr>
        <w:contextualSpacing/>
        <w:rPr>
          <w:rFonts w:cs="Times New Roman"/>
        </w:rPr>
      </w:pPr>
    </w:p>
    <w:p w:rsidR="004A763A" w:rsidRPr="000640FD" w:rsidRDefault="004A763A" w:rsidP="000640FD">
      <w:pPr>
        <w:contextualSpacing/>
        <w:rPr>
          <w:rFonts w:cs="Times New Roman"/>
        </w:rPr>
      </w:pPr>
      <w:r w:rsidRPr="000640FD">
        <w:rPr>
          <w:rFonts w:cs="Times New Roman"/>
        </w:rPr>
        <w:t>Hawthorne R and Morris K</w:t>
      </w:r>
    </w:p>
    <w:p w:rsidR="004A763A" w:rsidRPr="000640FD" w:rsidRDefault="004A763A" w:rsidP="000640FD">
      <w:pPr>
        <w:contextualSpacing/>
        <w:rPr>
          <w:rFonts w:cs="Times New Roman"/>
        </w:rPr>
      </w:pPr>
      <w:r w:rsidRPr="000640FD">
        <w:rPr>
          <w:rFonts w:cs="Times New Roman"/>
        </w:rPr>
        <w:t>2008. Policy Approaches to Margin Squeeze in the Telecommunications Sector in South Africa.</w:t>
      </w:r>
      <w:r w:rsidR="00815C93" w:rsidRPr="000640FD">
        <w:rPr>
          <w:rFonts w:cs="Times New Roman"/>
        </w:rPr>
        <w:t xml:space="preserve"> </w:t>
      </w:r>
      <w:r w:rsidR="00815C93" w:rsidRPr="000640FD">
        <w:rPr>
          <w:rFonts w:cs="Times New Roman"/>
          <w:i/>
        </w:rPr>
        <w:t>Development Policy Research Unit</w:t>
      </w:r>
      <w:r w:rsidR="00815C93" w:rsidRPr="000640FD">
        <w:rPr>
          <w:rFonts w:cs="Times New Roman"/>
        </w:rPr>
        <w:t>: Cape Town: UCT.</w:t>
      </w:r>
    </w:p>
    <w:p w:rsidR="005F26E9" w:rsidRPr="000640FD" w:rsidRDefault="005F26E9" w:rsidP="000640FD">
      <w:pPr>
        <w:contextualSpacing/>
        <w:rPr>
          <w:rFonts w:cs="Times New Roman"/>
        </w:rPr>
      </w:pPr>
      <w:r w:rsidRPr="000640FD">
        <w:rPr>
          <w:rFonts w:cs="Times New Roman"/>
        </w:rPr>
        <w:t xml:space="preserve">(This </w:t>
      </w:r>
      <w:r w:rsidR="00580399">
        <w:rPr>
          <w:rFonts w:cs="Times New Roman"/>
        </w:rPr>
        <w:t>article</w:t>
      </w:r>
      <w:r w:rsidRPr="000640FD">
        <w:rPr>
          <w:rFonts w:cs="Times New Roman"/>
        </w:rPr>
        <w:t xml:space="preserve"> examines the anti-competitive </w:t>
      </w:r>
      <w:r w:rsidR="0025417C" w:rsidRPr="000640FD">
        <w:rPr>
          <w:rFonts w:cs="Times New Roman"/>
        </w:rPr>
        <w:t>effects</w:t>
      </w:r>
      <w:r w:rsidRPr="000640FD">
        <w:rPr>
          <w:rFonts w:cs="Times New Roman"/>
        </w:rPr>
        <w:t xml:space="preserve"> of monopolies as well as the application of the efficiency defence in the European Union.)</w:t>
      </w:r>
    </w:p>
    <w:p w:rsidR="004A763A" w:rsidRPr="000640FD" w:rsidRDefault="004A763A" w:rsidP="000640FD">
      <w:pPr>
        <w:contextualSpacing/>
        <w:rPr>
          <w:rFonts w:cs="Times New Roman"/>
          <w:i/>
        </w:rPr>
      </w:pPr>
    </w:p>
    <w:p w:rsidR="00790CB2" w:rsidRPr="000640FD" w:rsidRDefault="00790CB2" w:rsidP="000640FD">
      <w:pPr>
        <w:contextualSpacing/>
        <w:rPr>
          <w:rFonts w:cs="Times New Roman"/>
        </w:rPr>
      </w:pPr>
      <w:r w:rsidRPr="000640FD">
        <w:rPr>
          <w:rFonts w:cs="Times New Roman"/>
          <w:i/>
        </w:rPr>
        <w:t>Harmony Gold Mining Company Ltd/Gold Fields Ltd case no 93/LM/NOV04</w:t>
      </w:r>
    </w:p>
    <w:p w:rsidR="00790CB2" w:rsidRPr="000640FD" w:rsidRDefault="00790CB2" w:rsidP="000640FD">
      <w:pPr>
        <w:contextualSpacing/>
        <w:rPr>
          <w:rFonts w:cs="Times New Roman"/>
        </w:rPr>
      </w:pPr>
      <w:r w:rsidRPr="000640FD">
        <w:rPr>
          <w:rFonts w:cs="Times New Roman"/>
        </w:rPr>
        <w:t xml:space="preserve">(This case sets out the procedure for </w:t>
      </w:r>
      <w:r w:rsidR="00125AD4">
        <w:rPr>
          <w:rFonts w:cs="Times New Roman"/>
        </w:rPr>
        <w:t xml:space="preserve">a </w:t>
      </w:r>
      <w:r w:rsidRPr="000640FD">
        <w:rPr>
          <w:rFonts w:cs="Times New Roman"/>
        </w:rPr>
        <w:t>merger consideration by the South African competition authorities.)</w:t>
      </w:r>
    </w:p>
    <w:p w:rsidR="00F64ED8" w:rsidRPr="000640FD" w:rsidRDefault="00F64ED8" w:rsidP="000640FD">
      <w:pPr>
        <w:contextualSpacing/>
        <w:rPr>
          <w:rFonts w:cs="Times New Roman"/>
        </w:rPr>
      </w:pPr>
    </w:p>
    <w:p w:rsidR="00811405" w:rsidRDefault="00811405" w:rsidP="000640FD">
      <w:pPr>
        <w:contextualSpacing/>
        <w:rPr>
          <w:rFonts w:cs="Times New Roman"/>
        </w:rPr>
      </w:pPr>
    </w:p>
    <w:p w:rsidR="00811405" w:rsidRDefault="00811405" w:rsidP="000640FD">
      <w:pPr>
        <w:contextualSpacing/>
        <w:rPr>
          <w:rFonts w:cs="Times New Roman"/>
        </w:rPr>
      </w:pPr>
    </w:p>
    <w:p w:rsidR="00811405" w:rsidRDefault="00811405" w:rsidP="000640FD">
      <w:pPr>
        <w:contextualSpacing/>
        <w:rPr>
          <w:rFonts w:cs="Times New Roman"/>
        </w:rPr>
      </w:pPr>
    </w:p>
    <w:p w:rsidR="00F64ED8" w:rsidRPr="000640FD" w:rsidRDefault="00F64ED8" w:rsidP="000640FD">
      <w:pPr>
        <w:contextualSpacing/>
        <w:rPr>
          <w:rFonts w:cs="Times New Roman"/>
        </w:rPr>
      </w:pPr>
      <w:r w:rsidRPr="000640FD">
        <w:rPr>
          <w:rFonts w:cs="Times New Roman"/>
        </w:rPr>
        <w:lastRenderedPageBreak/>
        <w:t>Holmes WC</w:t>
      </w:r>
    </w:p>
    <w:p w:rsidR="00F64ED8" w:rsidRPr="000640FD" w:rsidRDefault="00F64ED8" w:rsidP="000640FD">
      <w:pPr>
        <w:contextualSpacing/>
        <w:rPr>
          <w:rFonts w:cs="Times New Roman"/>
        </w:rPr>
      </w:pPr>
      <w:r w:rsidRPr="000640FD">
        <w:rPr>
          <w:rFonts w:cs="Times New Roman"/>
        </w:rPr>
        <w:t xml:space="preserve">2002. </w:t>
      </w:r>
      <w:r w:rsidRPr="000640FD">
        <w:rPr>
          <w:rFonts w:cs="Times New Roman"/>
          <w:i/>
        </w:rPr>
        <w:t>Antitrust Law Handbook</w:t>
      </w:r>
      <w:r w:rsidRPr="000640FD">
        <w:rPr>
          <w:rFonts w:cs="Times New Roman"/>
        </w:rPr>
        <w:t xml:space="preserve">. 2002 ed. </w:t>
      </w:r>
      <w:r w:rsidR="00023417" w:rsidRPr="000640FD">
        <w:rPr>
          <w:rFonts w:cs="Times New Roman"/>
        </w:rPr>
        <w:t>ST. Paul: West Group.</w:t>
      </w:r>
    </w:p>
    <w:p w:rsidR="00023417" w:rsidRPr="000640FD" w:rsidRDefault="00630AD1" w:rsidP="000640FD">
      <w:pPr>
        <w:contextualSpacing/>
        <w:rPr>
          <w:rFonts w:cs="Times New Roman"/>
        </w:rPr>
      </w:pPr>
      <w:r>
        <w:rPr>
          <w:rFonts w:cs="Times New Roman"/>
        </w:rPr>
        <w:t xml:space="preserve">(This textbook contains a detailed </w:t>
      </w:r>
      <w:r w:rsidR="00023417" w:rsidRPr="000640FD">
        <w:rPr>
          <w:rFonts w:cs="Times New Roman"/>
        </w:rPr>
        <w:t xml:space="preserve">exposition on the competition law </w:t>
      </w:r>
      <w:r w:rsidR="00125AD4">
        <w:rPr>
          <w:rFonts w:cs="Times New Roman"/>
        </w:rPr>
        <w:t>of</w:t>
      </w:r>
      <w:r w:rsidR="00023417" w:rsidRPr="000640FD">
        <w:rPr>
          <w:rFonts w:cs="Times New Roman"/>
        </w:rPr>
        <w:t xml:space="preserve"> the United States of America.)</w:t>
      </w:r>
    </w:p>
    <w:p w:rsidR="00811405" w:rsidRDefault="00811405" w:rsidP="000640FD">
      <w:pPr>
        <w:contextualSpacing/>
        <w:rPr>
          <w:rFonts w:cs="Times New Roman"/>
        </w:rPr>
      </w:pPr>
    </w:p>
    <w:p w:rsidR="00EC0E5D" w:rsidRPr="000640FD" w:rsidRDefault="00EC0E5D" w:rsidP="000640FD">
      <w:pPr>
        <w:contextualSpacing/>
        <w:rPr>
          <w:rFonts w:cs="Times New Roman"/>
        </w:rPr>
      </w:pPr>
      <w:r w:rsidRPr="000640FD">
        <w:rPr>
          <w:rFonts w:cs="Times New Roman"/>
        </w:rPr>
        <w:t>Ilzkovitz F and Meiklejohn R</w:t>
      </w:r>
    </w:p>
    <w:p w:rsidR="00EC0E5D" w:rsidRPr="000640FD" w:rsidRDefault="00EC0E5D" w:rsidP="000640FD">
      <w:pPr>
        <w:contextualSpacing/>
        <w:rPr>
          <w:rFonts w:cs="Times New Roman"/>
        </w:rPr>
      </w:pPr>
      <w:r w:rsidRPr="000640FD">
        <w:rPr>
          <w:rFonts w:cs="Times New Roman"/>
        </w:rPr>
        <w:t xml:space="preserve">2003. European Merger Control: Do We Need An Efficiency Defence? </w:t>
      </w:r>
      <w:r w:rsidRPr="000640FD">
        <w:rPr>
          <w:rFonts w:cs="Times New Roman"/>
          <w:i/>
        </w:rPr>
        <w:t>Journal of Industry, Competition and Trade</w:t>
      </w:r>
      <w:r w:rsidRPr="000640FD">
        <w:rPr>
          <w:rFonts w:cs="Times New Roman"/>
        </w:rPr>
        <w:t xml:space="preserve"> 3(1):57-85.</w:t>
      </w:r>
    </w:p>
    <w:p w:rsidR="00A614BE" w:rsidRPr="000640FD" w:rsidRDefault="00A614BE" w:rsidP="000640FD">
      <w:pPr>
        <w:contextualSpacing/>
        <w:rPr>
          <w:rFonts w:cs="Times New Roman"/>
        </w:rPr>
      </w:pPr>
      <w:r w:rsidRPr="000640FD">
        <w:rPr>
          <w:rFonts w:cs="Times New Roman"/>
        </w:rPr>
        <w:t>(This article considers whether an efficiency defence is necessary with regard to the consideration of mergers in the European Union.)</w:t>
      </w:r>
    </w:p>
    <w:p w:rsidR="00EC0E5D" w:rsidRPr="000640FD" w:rsidRDefault="00EC0E5D" w:rsidP="000640FD">
      <w:pPr>
        <w:contextualSpacing/>
        <w:rPr>
          <w:rFonts w:cs="Times New Roman"/>
        </w:rPr>
      </w:pPr>
    </w:p>
    <w:p w:rsidR="007F4179" w:rsidRPr="000640FD" w:rsidRDefault="007F4179" w:rsidP="000640FD">
      <w:pPr>
        <w:contextualSpacing/>
        <w:rPr>
          <w:rFonts w:cs="Times New Roman"/>
        </w:rPr>
      </w:pPr>
      <w:r w:rsidRPr="000640FD">
        <w:rPr>
          <w:rFonts w:cs="Times New Roman"/>
        </w:rPr>
        <w:t>International Competition Network</w:t>
      </w:r>
    </w:p>
    <w:p w:rsidR="007F4179" w:rsidRPr="000640FD" w:rsidRDefault="007F4179" w:rsidP="000640FD">
      <w:pPr>
        <w:contextualSpacing/>
        <w:rPr>
          <w:rFonts w:cs="Times New Roman"/>
        </w:rPr>
      </w:pPr>
      <w:r w:rsidRPr="000640FD">
        <w:rPr>
          <w:rFonts w:cs="Times New Roman"/>
        </w:rPr>
        <w:t xml:space="preserve">2008. </w:t>
      </w:r>
      <w:r w:rsidRPr="000640FD">
        <w:rPr>
          <w:rFonts w:cs="Times New Roman"/>
          <w:i/>
        </w:rPr>
        <w:t>Report on Single Branding/Exclusive Dealing</w:t>
      </w:r>
      <w:r w:rsidRPr="000640FD">
        <w:rPr>
          <w:rFonts w:cs="Times New Roman"/>
        </w:rPr>
        <w:t xml:space="preserve">. http://www.internationalcompetitionnetwork.org/uploads/library/doc355.pdf </w:t>
      </w:r>
    </w:p>
    <w:p w:rsidR="007F4179" w:rsidRPr="000640FD" w:rsidRDefault="007F4179" w:rsidP="000640FD">
      <w:pPr>
        <w:contextualSpacing/>
        <w:rPr>
          <w:rFonts w:cs="Times New Roman"/>
        </w:rPr>
      </w:pPr>
      <w:r w:rsidRPr="000640FD">
        <w:rPr>
          <w:rFonts w:cs="Times New Roman"/>
        </w:rPr>
        <w:t>(</w:t>
      </w:r>
      <w:r w:rsidRPr="000640FD">
        <w:rPr>
          <w:rStyle w:val="HTMLCite"/>
          <w:rFonts w:cs="Times New Roman"/>
          <w:i w:val="0"/>
        </w:rPr>
        <w:t>accessed on 4 March 2011</w:t>
      </w:r>
      <w:r w:rsidRPr="000640FD">
        <w:rPr>
          <w:rFonts w:cs="Times New Roman"/>
        </w:rPr>
        <w:t>)</w:t>
      </w:r>
    </w:p>
    <w:p w:rsidR="007F4179" w:rsidRPr="000640FD" w:rsidRDefault="007F4179" w:rsidP="000640FD">
      <w:pPr>
        <w:contextualSpacing/>
        <w:rPr>
          <w:rFonts w:cs="Times New Roman"/>
        </w:rPr>
      </w:pPr>
      <w:r w:rsidRPr="000640FD">
        <w:rPr>
          <w:rFonts w:cs="Times New Roman"/>
        </w:rPr>
        <w:t xml:space="preserve">(This </w:t>
      </w:r>
      <w:r w:rsidR="00125AD4">
        <w:rPr>
          <w:rFonts w:cs="Times New Roman"/>
        </w:rPr>
        <w:t>article</w:t>
      </w:r>
      <w:r w:rsidRPr="000640FD">
        <w:rPr>
          <w:rFonts w:cs="Times New Roman"/>
        </w:rPr>
        <w:t xml:space="preserve"> contains a discussion on exclusive dealing (exclusionary act) which causes foreclosure. This </w:t>
      </w:r>
      <w:r w:rsidR="00125AD4">
        <w:rPr>
          <w:rFonts w:cs="Times New Roman"/>
        </w:rPr>
        <w:t>article</w:t>
      </w:r>
      <w:r w:rsidRPr="000640FD">
        <w:rPr>
          <w:rFonts w:cs="Times New Roman"/>
        </w:rPr>
        <w:t xml:space="preserve"> sets out the circumstances </w:t>
      </w:r>
      <w:r w:rsidR="00EE3290" w:rsidRPr="000640FD">
        <w:rPr>
          <w:rFonts w:cs="Times New Roman"/>
        </w:rPr>
        <w:t xml:space="preserve">in which </w:t>
      </w:r>
      <w:r w:rsidRPr="000640FD">
        <w:rPr>
          <w:rFonts w:cs="Times New Roman"/>
        </w:rPr>
        <w:t xml:space="preserve">exclusive dealing </w:t>
      </w:r>
      <w:r w:rsidR="00125AD4">
        <w:rPr>
          <w:rFonts w:cs="Times New Roman"/>
        </w:rPr>
        <w:t xml:space="preserve">should be </w:t>
      </w:r>
      <w:r w:rsidRPr="000640FD">
        <w:rPr>
          <w:rFonts w:cs="Times New Roman"/>
        </w:rPr>
        <w:t xml:space="preserve">illegal. This paper also considers the efficiency defence </w:t>
      </w:r>
      <w:r w:rsidR="00EE3290" w:rsidRPr="000640FD">
        <w:rPr>
          <w:rFonts w:cs="Times New Roman"/>
        </w:rPr>
        <w:t>with regard to exclusive dealing.</w:t>
      </w:r>
      <w:r w:rsidRPr="000640FD">
        <w:rPr>
          <w:rFonts w:cs="Times New Roman"/>
        </w:rPr>
        <w:t>)</w:t>
      </w:r>
    </w:p>
    <w:p w:rsidR="007F4179" w:rsidRPr="000640FD" w:rsidRDefault="007F4179" w:rsidP="000640FD">
      <w:pPr>
        <w:contextualSpacing/>
        <w:rPr>
          <w:rFonts w:cs="Times New Roman"/>
        </w:rPr>
      </w:pPr>
    </w:p>
    <w:p w:rsidR="00790CB2" w:rsidRPr="000640FD" w:rsidRDefault="00790CB2" w:rsidP="000640FD">
      <w:pPr>
        <w:contextualSpacing/>
        <w:rPr>
          <w:rFonts w:cs="Times New Roman"/>
        </w:rPr>
      </w:pPr>
      <w:r w:rsidRPr="000640FD">
        <w:rPr>
          <w:rFonts w:cs="Times New Roman"/>
        </w:rPr>
        <w:t>International Competition Network</w:t>
      </w:r>
    </w:p>
    <w:p w:rsidR="00790CB2" w:rsidRPr="000640FD" w:rsidRDefault="00790CB2" w:rsidP="000640FD">
      <w:pPr>
        <w:contextualSpacing/>
        <w:rPr>
          <w:rFonts w:cs="Times New Roman"/>
        </w:rPr>
      </w:pPr>
      <w:r w:rsidRPr="000640FD">
        <w:rPr>
          <w:rFonts w:cs="Times New Roman"/>
        </w:rPr>
        <w:t xml:space="preserve">2010. </w:t>
      </w:r>
      <w:r w:rsidRPr="000640FD">
        <w:rPr>
          <w:rFonts w:cs="Times New Roman"/>
          <w:i/>
        </w:rPr>
        <w:t>Trends and Developments in Cartel Enforcement</w:t>
      </w:r>
      <w:r w:rsidRPr="000640FD">
        <w:rPr>
          <w:rFonts w:cs="Times New Roman"/>
        </w:rPr>
        <w:t xml:space="preserve">. </w:t>
      </w:r>
    </w:p>
    <w:p w:rsidR="00790CB2" w:rsidRPr="000640FD" w:rsidRDefault="00790CB2" w:rsidP="000640FD">
      <w:pPr>
        <w:contextualSpacing/>
        <w:rPr>
          <w:rStyle w:val="HTMLCite"/>
          <w:rFonts w:cs="Times New Roman"/>
          <w:i w:val="0"/>
        </w:rPr>
      </w:pPr>
      <w:r w:rsidRPr="000640FD">
        <w:rPr>
          <w:rFonts w:cs="Times New Roman"/>
        </w:rPr>
        <w:t>www.internationalcompetitionnetwork.org/uploads/library/doc613.pdf</w:t>
      </w:r>
      <w:r w:rsidRPr="000640FD">
        <w:rPr>
          <w:rStyle w:val="HTMLCite"/>
          <w:rFonts w:cs="Times New Roman"/>
        </w:rPr>
        <w:t xml:space="preserve"> </w:t>
      </w:r>
      <w:r w:rsidRPr="000640FD">
        <w:rPr>
          <w:rStyle w:val="HTMLCite"/>
          <w:rFonts w:cs="Times New Roman"/>
          <w:i w:val="0"/>
        </w:rPr>
        <w:t>(accessed on 4 March 2011)</w:t>
      </w:r>
    </w:p>
    <w:p w:rsidR="00790CB2" w:rsidRPr="000640FD" w:rsidRDefault="00790CB2" w:rsidP="000640FD">
      <w:pPr>
        <w:contextualSpacing/>
        <w:rPr>
          <w:rStyle w:val="HTMLCite"/>
          <w:rFonts w:cs="Times New Roman"/>
          <w:i w:val="0"/>
        </w:rPr>
      </w:pPr>
      <w:r w:rsidRPr="000640FD">
        <w:rPr>
          <w:rStyle w:val="HTMLCite"/>
          <w:rFonts w:cs="Times New Roman"/>
        </w:rPr>
        <w:t>(</w:t>
      </w:r>
      <w:r w:rsidRPr="000640FD">
        <w:rPr>
          <w:rFonts w:cs="Times New Roman"/>
        </w:rPr>
        <w:t>This article contains a broad overview of the South African Competition Act 89/1998 as well as an overview of similar legislation in other countries.</w:t>
      </w:r>
      <w:r w:rsidRPr="000640FD">
        <w:rPr>
          <w:rStyle w:val="HTMLCite"/>
          <w:rFonts w:cs="Times New Roman"/>
        </w:rPr>
        <w:t>)</w:t>
      </w:r>
    </w:p>
    <w:p w:rsidR="00790CB2" w:rsidRPr="000640FD" w:rsidRDefault="00790CB2" w:rsidP="000640FD">
      <w:pPr>
        <w:contextualSpacing/>
        <w:rPr>
          <w:rStyle w:val="HTMLCite"/>
          <w:rFonts w:cs="Times New Roman"/>
          <w:i w:val="0"/>
        </w:rPr>
      </w:pPr>
    </w:p>
    <w:p w:rsidR="00790CB2" w:rsidRPr="000640FD" w:rsidRDefault="00790CB2" w:rsidP="000640FD">
      <w:pPr>
        <w:contextualSpacing/>
        <w:rPr>
          <w:rFonts w:cs="Times New Roman"/>
          <w:i/>
        </w:rPr>
      </w:pPr>
      <w:r w:rsidRPr="000640FD">
        <w:rPr>
          <w:rFonts w:cs="Times New Roman"/>
          <w:i/>
        </w:rPr>
        <w:t>Iscor Ltd/Saldanha Steel (Pty) Ltd case no 67/LM/Dec01</w:t>
      </w:r>
    </w:p>
    <w:p w:rsidR="00790CB2" w:rsidRPr="000640FD" w:rsidRDefault="00790CB2" w:rsidP="000640FD">
      <w:pPr>
        <w:contextualSpacing/>
        <w:rPr>
          <w:rFonts w:cs="Times New Roman"/>
        </w:rPr>
      </w:pPr>
      <w:r w:rsidRPr="000640FD">
        <w:rPr>
          <w:rFonts w:cs="Times New Roman"/>
        </w:rPr>
        <w:t>(This case examines the difference between the efficiency defence and the failing firm defence with regard to South African competition matters.)</w:t>
      </w:r>
    </w:p>
    <w:p w:rsidR="006B29C0" w:rsidRPr="000640FD" w:rsidRDefault="006B29C0" w:rsidP="000640FD">
      <w:pPr>
        <w:contextualSpacing/>
        <w:rPr>
          <w:rFonts w:cs="Times New Roman"/>
        </w:rPr>
      </w:pPr>
    </w:p>
    <w:p w:rsidR="006B29C0" w:rsidRPr="000640FD" w:rsidRDefault="006B29C0" w:rsidP="000640FD">
      <w:pPr>
        <w:contextualSpacing/>
        <w:rPr>
          <w:rFonts w:cs="Times New Roman"/>
        </w:rPr>
      </w:pPr>
      <w:r w:rsidRPr="000640FD">
        <w:rPr>
          <w:rFonts w:cs="Times New Roman"/>
        </w:rPr>
        <w:t>Korah V</w:t>
      </w:r>
    </w:p>
    <w:p w:rsidR="006B29C0" w:rsidRPr="000640FD" w:rsidRDefault="006B29C0" w:rsidP="000640FD">
      <w:pPr>
        <w:contextualSpacing/>
        <w:rPr>
          <w:rFonts w:cs="Times New Roman"/>
        </w:rPr>
      </w:pPr>
      <w:r w:rsidRPr="000640FD">
        <w:rPr>
          <w:rFonts w:cs="Times New Roman"/>
        </w:rPr>
        <w:t xml:space="preserve">2004. </w:t>
      </w:r>
      <w:r w:rsidRPr="000640FD">
        <w:rPr>
          <w:rFonts w:cs="Times New Roman"/>
          <w:i/>
        </w:rPr>
        <w:t>An introductory guide to EC Competition Law and Practice</w:t>
      </w:r>
      <w:r w:rsidRPr="000640FD">
        <w:rPr>
          <w:rFonts w:cs="Times New Roman"/>
        </w:rPr>
        <w:t>. 8</w:t>
      </w:r>
      <w:r w:rsidRPr="000640FD">
        <w:rPr>
          <w:rFonts w:cs="Times New Roman"/>
          <w:vertAlign w:val="superscript"/>
        </w:rPr>
        <w:t>th</w:t>
      </w:r>
      <w:r w:rsidRPr="000640FD">
        <w:rPr>
          <w:rFonts w:cs="Times New Roman"/>
        </w:rPr>
        <w:t xml:space="preserve"> ed. Oxford: Portland </w:t>
      </w:r>
      <w:r w:rsidR="005F63D5" w:rsidRPr="000640FD">
        <w:rPr>
          <w:rFonts w:cs="Times New Roman"/>
        </w:rPr>
        <w:t>Oregon</w:t>
      </w:r>
      <w:r w:rsidRPr="000640FD">
        <w:rPr>
          <w:rFonts w:cs="Times New Roman"/>
        </w:rPr>
        <w:t>.</w:t>
      </w:r>
    </w:p>
    <w:p w:rsidR="005F63D5" w:rsidRPr="000640FD" w:rsidRDefault="005F63D5" w:rsidP="000640FD">
      <w:pPr>
        <w:contextualSpacing/>
        <w:rPr>
          <w:rFonts w:cs="Times New Roman"/>
          <w:i/>
        </w:rPr>
      </w:pPr>
      <w:r w:rsidRPr="000640FD">
        <w:rPr>
          <w:rFonts w:cs="Times New Roman"/>
        </w:rPr>
        <w:t xml:space="preserve">(This textbook contains </w:t>
      </w:r>
      <w:r w:rsidR="00630AD1" w:rsidRPr="000640FD">
        <w:rPr>
          <w:rFonts w:cs="Times New Roman"/>
        </w:rPr>
        <w:t>a</w:t>
      </w:r>
      <w:r w:rsidRPr="000640FD">
        <w:rPr>
          <w:rFonts w:cs="Times New Roman"/>
        </w:rPr>
        <w:t xml:space="preserve"> </w:t>
      </w:r>
      <w:r w:rsidR="00FC7799">
        <w:rPr>
          <w:rFonts w:cs="Times New Roman"/>
        </w:rPr>
        <w:t xml:space="preserve">detailed </w:t>
      </w:r>
      <w:r w:rsidRPr="000640FD">
        <w:rPr>
          <w:rFonts w:cs="Times New Roman"/>
        </w:rPr>
        <w:t xml:space="preserve">exposition on the competition law </w:t>
      </w:r>
      <w:r w:rsidR="00125AD4">
        <w:rPr>
          <w:rFonts w:cs="Times New Roman"/>
        </w:rPr>
        <w:t>of</w:t>
      </w:r>
      <w:r w:rsidRPr="000640FD">
        <w:rPr>
          <w:rFonts w:cs="Times New Roman"/>
        </w:rPr>
        <w:t xml:space="preserve"> the </w:t>
      </w:r>
      <w:r w:rsidR="00E347C2" w:rsidRPr="000640FD">
        <w:rPr>
          <w:rFonts w:cs="Times New Roman"/>
        </w:rPr>
        <w:t>European Union.</w:t>
      </w:r>
      <w:r w:rsidRPr="000640FD">
        <w:rPr>
          <w:rFonts w:cs="Times New Roman"/>
        </w:rPr>
        <w:t>)</w:t>
      </w:r>
    </w:p>
    <w:p w:rsidR="00790CB2" w:rsidRPr="000640FD" w:rsidRDefault="00790CB2" w:rsidP="000640FD">
      <w:pPr>
        <w:contextualSpacing/>
        <w:jc w:val="both"/>
        <w:rPr>
          <w:rFonts w:cs="Times New Roman"/>
          <w:iCs/>
          <w:lang w:eastAsia="en-GB" w:bidi="en-GB"/>
        </w:rPr>
      </w:pPr>
    </w:p>
    <w:p w:rsidR="00811405" w:rsidRDefault="00811405" w:rsidP="000640FD">
      <w:pPr>
        <w:contextualSpacing/>
        <w:jc w:val="both"/>
        <w:rPr>
          <w:rFonts w:cs="Times New Roman"/>
          <w:iCs/>
          <w:lang w:eastAsia="en-GB" w:bidi="en-GB"/>
        </w:rPr>
      </w:pPr>
    </w:p>
    <w:p w:rsidR="00811405" w:rsidRDefault="00811405" w:rsidP="000640FD">
      <w:pPr>
        <w:contextualSpacing/>
        <w:jc w:val="both"/>
        <w:rPr>
          <w:rFonts w:cs="Times New Roman"/>
          <w:iCs/>
          <w:lang w:eastAsia="en-GB" w:bidi="en-GB"/>
        </w:rPr>
      </w:pPr>
    </w:p>
    <w:p w:rsidR="00790CB2" w:rsidRPr="000640FD" w:rsidRDefault="00790CB2" w:rsidP="000640FD">
      <w:pPr>
        <w:contextualSpacing/>
        <w:jc w:val="both"/>
        <w:rPr>
          <w:rFonts w:cs="Times New Roman"/>
          <w:iCs/>
          <w:lang w:eastAsia="en-GB" w:bidi="en-GB"/>
        </w:rPr>
      </w:pPr>
      <w:r w:rsidRPr="000640FD">
        <w:rPr>
          <w:rFonts w:cs="Times New Roman"/>
          <w:iCs/>
          <w:lang w:eastAsia="en-GB" w:bidi="en-GB"/>
        </w:rPr>
        <w:lastRenderedPageBreak/>
        <w:t>Neuhoff M and Govender M and Versfeld M and Dingley D</w:t>
      </w:r>
    </w:p>
    <w:p w:rsidR="00790CB2" w:rsidRPr="000640FD" w:rsidRDefault="00790CB2" w:rsidP="000640FD">
      <w:pPr>
        <w:contextualSpacing/>
        <w:jc w:val="both"/>
        <w:rPr>
          <w:rFonts w:cs="Times New Roman"/>
          <w:iCs/>
          <w:lang w:eastAsia="en-GB" w:bidi="en-GB"/>
        </w:rPr>
      </w:pPr>
      <w:r w:rsidRPr="000640FD">
        <w:rPr>
          <w:rFonts w:cs="Times New Roman"/>
          <w:iCs/>
          <w:lang w:eastAsia="en-GB" w:bidi="en-GB"/>
        </w:rPr>
        <w:t xml:space="preserve">2006. </w:t>
      </w:r>
      <w:r w:rsidRPr="000640FD">
        <w:rPr>
          <w:rFonts w:cs="Times New Roman"/>
          <w:i/>
          <w:iCs/>
          <w:lang w:eastAsia="en-GB" w:bidi="en-GB"/>
        </w:rPr>
        <w:t>A Practical Guide to the South African Competition Act</w:t>
      </w:r>
      <w:r w:rsidRPr="000640FD">
        <w:rPr>
          <w:rFonts w:cs="Times New Roman"/>
          <w:iCs/>
          <w:lang w:eastAsia="en-GB" w:bidi="en-GB"/>
        </w:rPr>
        <w:t>. 1</w:t>
      </w:r>
      <w:r w:rsidRPr="000640FD">
        <w:rPr>
          <w:rFonts w:cs="Times New Roman"/>
          <w:iCs/>
          <w:vertAlign w:val="superscript"/>
          <w:lang w:eastAsia="en-GB" w:bidi="en-GB"/>
        </w:rPr>
        <w:t>st</w:t>
      </w:r>
      <w:r w:rsidRPr="000640FD">
        <w:rPr>
          <w:rFonts w:cs="Times New Roman"/>
          <w:iCs/>
          <w:lang w:eastAsia="en-GB" w:bidi="en-GB"/>
        </w:rPr>
        <w:t xml:space="preserve"> ed. Durban: LexisNexis. </w:t>
      </w:r>
    </w:p>
    <w:p w:rsidR="00790CB2" w:rsidRPr="000640FD" w:rsidRDefault="00790CB2" w:rsidP="000640FD">
      <w:pPr>
        <w:contextualSpacing/>
        <w:jc w:val="both"/>
        <w:rPr>
          <w:rFonts w:cs="Times New Roman"/>
          <w:iCs/>
          <w:lang w:eastAsia="en-GB" w:bidi="en-GB"/>
        </w:rPr>
      </w:pPr>
      <w:r w:rsidRPr="000640FD">
        <w:rPr>
          <w:rFonts w:cs="Times New Roman"/>
          <w:iCs/>
          <w:lang w:eastAsia="en-GB" w:bidi="en-GB"/>
        </w:rPr>
        <w:t xml:space="preserve">(This textbook contains brief discussions on most of the </w:t>
      </w:r>
      <w:r w:rsidR="0027026B">
        <w:rPr>
          <w:rFonts w:cs="Times New Roman"/>
          <w:iCs/>
          <w:lang w:eastAsia="en-GB" w:bidi="en-GB"/>
        </w:rPr>
        <w:t>topics</w:t>
      </w:r>
      <w:r w:rsidRPr="000640FD">
        <w:rPr>
          <w:rFonts w:cs="Times New Roman"/>
          <w:iCs/>
          <w:lang w:eastAsia="en-GB" w:bidi="en-GB"/>
        </w:rPr>
        <w:t xml:space="preserve"> that will be </w:t>
      </w:r>
      <w:r w:rsidR="0027026B">
        <w:rPr>
          <w:rFonts w:cs="Times New Roman"/>
          <w:iCs/>
          <w:lang w:eastAsia="en-GB" w:bidi="en-GB"/>
        </w:rPr>
        <w:t>discussed</w:t>
      </w:r>
      <w:r w:rsidRPr="000640FD">
        <w:rPr>
          <w:rFonts w:cs="Times New Roman"/>
          <w:iCs/>
          <w:lang w:eastAsia="en-GB" w:bidi="en-GB"/>
        </w:rPr>
        <w:t xml:space="preserve"> in this paper. It also contains definitions on certain economic principles that are relevant for the interpretation and </w:t>
      </w:r>
      <w:r w:rsidR="0027026B">
        <w:rPr>
          <w:rFonts w:cs="Times New Roman"/>
          <w:iCs/>
          <w:lang w:eastAsia="en-GB" w:bidi="en-GB"/>
        </w:rPr>
        <w:t>application</w:t>
      </w:r>
      <w:r w:rsidRPr="000640FD">
        <w:rPr>
          <w:rFonts w:cs="Times New Roman"/>
          <w:iCs/>
          <w:lang w:eastAsia="en-GB" w:bidi="en-GB"/>
        </w:rPr>
        <w:t xml:space="preserve"> of the Competition Act 89/1998.)</w:t>
      </w:r>
    </w:p>
    <w:p w:rsidR="00790CB2" w:rsidRPr="000640FD" w:rsidRDefault="00790CB2" w:rsidP="000640FD">
      <w:pPr>
        <w:contextualSpacing/>
        <w:jc w:val="both"/>
        <w:rPr>
          <w:rFonts w:cs="Times New Roman"/>
          <w:iCs/>
          <w:lang w:eastAsia="en-GB" w:bidi="en-GB"/>
        </w:rPr>
      </w:pPr>
    </w:p>
    <w:p w:rsidR="002250B1" w:rsidRPr="000640FD" w:rsidRDefault="002250B1" w:rsidP="000640FD">
      <w:pPr>
        <w:contextualSpacing/>
        <w:jc w:val="both"/>
        <w:rPr>
          <w:rFonts w:cs="Times New Roman"/>
        </w:rPr>
      </w:pPr>
      <w:r w:rsidRPr="000640FD">
        <w:rPr>
          <w:rFonts w:cs="Times New Roman"/>
        </w:rPr>
        <w:t>Norton A</w:t>
      </w:r>
    </w:p>
    <w:p w:rsidR="002250B1" w:rsidRPr="000640FD" w:rsidRDefault="002250B1" w:rsidP="000640FD">
      <w:pPr>
        <w:contextualSpacing/>
        <w:jc w:val="both"/>
        <w:rPr>
          <w:rFonts w:cs="Times New Roman"/>
        </w:rPr>
      </w:pPr>
      <w:r w:rsidRPr="000640FD">
        <w:rPr>
          <w:rFonts w:cs="Times New Roman"/>
        </w:rPr>
        <w:t xml:space="preserve">2000. </w:t>
      </w:r>
      <w:r w:rsidRPr="000640FD">
        <w:rPr>
          <w:rFonts w:cs="Times New Roman"/>
          <w:i/>
        </w:rPr>
        <w:t>South Africa: Efficiency Arguments in Favour of Mergers and Acquisitions</w:t>
      </w:r>
      <w:r w:rsidRPr="000640FD">
        <w:rPr>
          <w:rFonts w:cs="Times New Roman"/>
        </w:rPr>
        <w:t>.</w:t>
      </w:r>
    </w:p>
    <w:p w:rsidR="002250B1" w:rsidRPr="000640FD" w:rsidRDefault="002250B1" w:rsidP="000640FD">
      <w:pPr>
        <w:contextualSpacing/>
        <w:jc w:val="both"/>
        <w:rPr>
          <w:rFonts w:cs="Times New Roman"/>
        </w:rPr>
      </w:pPr>
      <w:r w:rsidRPr="000640FD">
        <w:rPr>
          <w:rFonts w:cs="Times New Roman"/>
        </w:rPr>
        <w:t>http://www.mondaq.com/article.asp?articleid=8565 (accessed on 4 March 2011)</w:t>
      </w:r>
    </w:p>
    <w:p w:rsidR="002250B1" w:rsidRPr="000640FD" w:rsidRDefault="002250B1" w:rsidP="000640FD">
      <w:pPr>
        <w:contextualSpacing/>
        <w:jc w:val="both"/>
        <w:rPr>
          <w:rFonts w:cs="Times New Roman"/>
        </w:rPr>
      </w:pPr>
      <w:r w:rsidRPr="000640FD">
        <w:rPr>
          <w:rFonts w:cs="Times New Roman"/>
        </w:rPr>
        <w:t xml:space="preserve">(This </w:t>
      </w:r>
      <w:r w:rsidR="009670F0" w:rsidRPr="000640FD">
        <w:rPr>
          <w:rFonts w:cs="Times New Roman"/>
        </w:rPr>
        <w:t xml:space="preserve">paper </w:t>
      </w:r>
      <w:r w:rsidRPr="000640FD">
        <w:rPr>
          <w:rFonts w:cs="Times New Roman"/>
        </w:rPr>
        <w:t>contains</w:t>
      </w:r>
      <w:r w:rsidR="009670F0" w:rsidRPr="000640FD">
        <w:rPr>
          <w:rFonts w:cs="Times New Roman"/>
        </w:rPr>
        <w:t xml:space="preserve"> </w:t>
      </w:r>
      <w:r w:rsidRPr="000640FD">
        <w:rPr>
          <w:rFonts w:cs="Times New Roman"/>
        </w:rPr>
        <w:t>meaningful information on the application of the efficiency defence in terms of the Competition Act 89/1998.)</w:t>
      </w:r>
    </w:p>
    <w:p w:rsidR="002250B1" w:rsidRPr="000640FD" w:rsidRDefault="002250B1" w:rsidP="000640FD">
      <w:pPr>
        <w:contextualSpacing/>
        <w:jc w:val="both"/>
        <w:rPr>
          <w:rFonts w:cs="Times New Roman"/>
          <w:i/>
        </w:rPr>
      </w:pPr>
    </w:p>
    <w:p w:rsidR="007F11EA" w:rsidRPr="000640FD" w:rsidRDefault="007F11EA" w:rsidP="000640FD">
      <w:pPr>
        <w:contextualSpacing/>
        <w:jc w:val="both"/>
        <w:rPr>
          <w:rFonts w:cs="Times New Roman"/>
        </w:rPr>
      </w:pPr>
      <w:r w:rsidRPr="000640FD">
        <w:rPr>
          <w:rFonts w:cs="Times New Roman"/>
        </w:rPr>
        <w:t>Pace LF</w:t>
      </w:r>
    </w:p>
    <w:p w:rsidR="007F11EA" w:rsidRPr="000640FD" w:rsidRDefault="007F11EA" w:rsidP="000640FD">
      <w:pPr>
        <w:contextualSpacing/>
        <w:jc w:val="both"/>
        <w:rPr>
          <w:rFonts w:cs="Times New Roman"/>
        </w:rPr>
      </w:pPr>
      <w:r w:rsidRPr="000640FD">
        <w:rPr>
          <w:rFonts w:cs="Times New Roman"/>
        </w:rPr>
        <w:t xml:space="preserve">2007. </w:t>
      </w:r>
      <w:r w:rsidRPr="000640FD">
        <w:rPr>
          <w:rFonts w:cs="Times New Roman"/>
          <w:i/>
        </w:rPr>
        <w:t>European Antitrust Law</w:t>
      </w:r>
      <w:r w:rsidRPr="000640FD">
        <w:rPr>
          <w:rFonts w:cs="Times New Roman"/>
        </w:rPr>
        <w:t>. 1</w:t>
      </w:r>
      <w:r w:rsidRPr="000640FD">
        <w:rPr>
          <w:rFonts w:cs="Times New Roman"/>
          <w:vertAlign w:val="superscript"/>
        </w:rPr>
        <w:t>st</w:t>
      </w:r>
      <w:r w:rsidRPr="000640FD">
        <w:rPr>
          <w:rFonts w:cs="Times New Roman"/>
        </w:rPr>
        <w:t xml:space="preserve"> ed. </w:t>
      </w:r>
      <w:r w:rsidR="00E9040F" w:rsidRPr="000640FD">
        <w:rPr>
          <w:rFonts w:cs="Times New Roman"/>
        </w:rPr>
        <w:t>Cheltenham: Edward Elgar.</w:t>
      </w:r>
    </w:p>
    <w:p w:rsidR="00E9040F" w:rsidRPr="000640FD" w:rsidRDefault="00E9040F" w:rsidP="000640FD">
      <w:pPr>
        <w:contextualSpacing/>
        <w:jc w:val="both"/>
        <w:rPr>
          <w:rFonts w:cs="Times New Roman"/>
        </w:rPr>
      </w:pPr>
      <w:r w:rsidRPr="000640FD">
        <w:rPr>
          <w:rFonts w:cs="Times New Roman"/>
        </w:rPr>
        <w:t>(This textbook contains a detailed exposition o</w:t>
      </w:r>
      <w:r w:rsidR="00473868" w:rsidRPr="000640FD">
        <w:rPr>
          <w:rFonts w:cs="Times New Roman"/>
        </w:rPr>
        <w:t>n</w:t>
      </w:r>
      <w:r w:rsidRPr="000640FD">
        <w:rPr>
          <w:rFonts w:cs="Times New Roman"/>
        </w:rPr>
        <w:t xml:space="preserve"> the competition law </w:t>
      </w:r>
      <w:r w:rsidR="00FC7799">
        <w:rPr>
          <w:rFonts w:cs="Times New Roman"/>
        </w:rPr>
        <w:t>of</w:t>
      </w:r>
      <w:r w:rsidRPr="000640FD">
        <w:rPr>
          <w:rFonts w:cs="Times New Roman"/>
        </w:rPr>
        <w:t xml:space="preserve"> the European Union.)</w:t>
      </w:r>
    </w:p>
    <w:p w:rsidR="007F11EA" w:rsidRPr="000640FD" w:rsidRDefault="007F11EA" w:rsidP="000640FD">
      <w:pPr>
        <w:contextualSpacing/>
        <w:jc w:val="both"/>
        <w:rPr>
          <w:rFonts w:cs="Times New Roman"/>
          <w:i/>
        </w:rPr>
      </w:pPr>
    </w:p>
    <w:p w:rsidR="00790CB2" w:rsidRPr="000640FD" w:rsidRDefault="00790CB2" w:rsidP="000640FD">
      <w:pPr>
        <w:contextualSpacing/>
        <w:jc w:val="both"/>
        <w:rPr>
          <w:rFonts w:cs="Times New Roman"/>
          <w:i/>
        </w:rPr>
      </w:pPr>
      <w:r w:rsidRPr="000640FD">
        <w:rPr>
          <w:rFonts w:cs="Times New Roman"/>
          <w:i/>
        </w:rPr>
        <w:t>Patensie Sitrus Beherend Beperk/The Competition Commission case no 16/CAC/Apr02</w:t>
      </w:r>
    </w:p>
    <w:p w:rsidR="00790CB2" w:rsidRPr="000640FD" w:rsidRDefault="00790CB2" w:rsidP="000640FD">
      <w:pPr>
        <w:contextualSpacing/>
        <w:jc w:val="both"/>
        <w:rPr>
          <w:rFonts w:cs="Times New Roman"/>
        </w:rPr>
      </w:pPr>
      <w:r w:rsidRPr="000640FD">
        <w:rPr>
          <w:rFonts w:cs="Times New Roman"/>
        </w:rPr>
        <w:t>(This case define</w:t>
      </w:r>
      <w:r w:rsidR="009670F0" w:rsidRPr="000640FD">
        <w:rPr>
          <w:rFonts w:cs="Times New Roman"/>
        </w:rPr>
        <w:t>d</w:t>
      </w:r>
      <w:r w:rsidRPr="000640FD">
        <w:rPr>
          <w:rFonts w:cs="Times New Roman"/>
        </w:rPr>
        <w:t xml:space="preserve"> an exclusionary act in terms of the Competition Act 89/1998. Furthermore, this case also s</w:t>
      </w:r>
      <w:r w:rsidR="009670F0" w:rsidRPr="000640FD">
        <w:rPr>
          <w:rFonts w:cs="Times New Roman"/>
        </w:rPr>
        <w:t>at</w:t>
      </w:r>
      <w:r w:rsidRPr="000640FD">
        <w:rPr>
          <w:rFonts w:cs="Times New Roman"/>
        </w:rPr>
        <w:t xml:space="preserve"> out some of the requirements for the use of the efficiency defence in South Africa.)</w:t>
      </w:r>
    </w:p>
    <w:p w:rsidR="00790CB2" w:rsidRPr="000640FD" w:rsidRDefault="00790CB2" w:rsidP="000640FD">
      <w:pPr>
        <w:contextualSpacing/>
        <w:jc w:val="both"/>
        <w:rPr>
          <w:rFonts w:cs="Times New Roman"/>
        </w:rPr>
      </w:pPr>
    </w:p>
    <w:p w:rsidR="00790CB2" w:rsidRPr="000640FD" w:rsidRDefault="00790CB2" w:rsidP="000640FD">
      <w:pPr>
        <w:contextualSpacing/>
        <w:rPr>
          <w:rFonts w:cs="Times New Roman"/>
        </w:rPr>
      </w:pPr>
      <w:r w:rsidRPr="000640FD">
        <w:rPr>
          <w:rFonts w:cs="Times New Roman"/>
        </w:rPr>
        <w:t>Sutherland P</w:t>
      </w:r>
    </w:p>
    <w:p w:rsidR="00790CB2" w:rsidRPr="000640FD" w:rsidRDefault="00790CB2" w:rsidP="000640FD">
      <w:pPr>
        <w:contextualSpacing/>
        <w:rPr>
          <w:rFonts w:cs="Times New Roman"/>
        </w:rPr>
      </w:pPr>
      <w:r w:rsidRPr="000640FD">
        <w:rPr>
          <w:rFonts w:cs="Times New Roman"/>
        </w:rPr>
        <w:t xml:space="preserve">2008. Steel and Propane: The Efficiency Defence and Horizontal Mergers. </w:t>
      </w:r>
      <w:r w:rsidRPr="000640FD">
        <w:rPr>
          <w:rFonts w:cs="Times New Roman"/>
          <w:i/>
        </w:rPr>
        <w:t>South African Law Journal</w:t>
      </w:r>
      <w:r w:rsidRPr="000640FD">
        <w:rPr>
          <w:rFonts w:cs="Times New Roman"/>
        </w:rPr>
        <w:t xml:space="preserve"> 125(2):331-370.</w:t>
      </w:r>
    </w:p>
    <w:p w:rsidR="00790CB2" w:rsidRPr="000640FD" w:rsidRDefault="00790CB2" w:rsidP="000640FD">
      <w:pPr>
        <w:contextualSpacing/>
        <w:rPr>
          <w:rFonts w:cs="Times New Roman"/>
        </w:rPr>
      </w:pPr>
      <w:r w:rsidRPr="000640FD">
        <w:rPr>
          <w:rFonts w:cs="Times New Roman"/>
        </w:rPr>
        <w:t>(This article contains meaningful information on the requirements and application of the efficiency defence in South African competition matters.)</w:t>
      </w:r>
    </w:p>
    <w:p w:rsidR="00790CB2" w:rsidRPr="000640FD" w:rsidRDefault="00790CB2" w:rsidP="000640FD">
      <w:pPr>
        <w:contextualSpacing/>
        <w:rPr>
          <w:rFonts w:cs="Times New Roman"/>
          <w:i/>
        </w:rPr>
      </w:pPr>
    </w:p>
    <w:p w:rsidR="00790CB2" w:rsidRPr="000640FD" w:rsidRDefault="00790CB2" w:rsidP="000640FD">
      <w:pPr>
        <w:contextualSpacing/>
        <w:rPr>
          <w:rFonts w:cs="Times New Roman"/>
          <w:i/>
        </w:rPr>
      </w:pPr>
      <w:r w:rsidRPr="000640FD">
        <w:rPr>
          <w:rFonts w:cs="Times New Roman"/>
          <w:i/>
        </w:rPr>
        <w:t>South African Raisins (Pty) Ltd/SAD Holdings Ltd case no 04/IR/Oct/1999.</w:t>
      </w:r>
    </w:p>
    <w:p w:rsidR="00790CB2" w:rsidRPr="000640FD" w:rsidRDefault="00790CB2" w:rsidP="000640FD">
      <w:pPr>
        <w:contextualSpacing/>
        <w:rPr>
          <w:rFonts w:cs="Times New Roman"/>
        </w:rPr>
      </w:pPr>
      <w:r w:rsidRPr="000640FD">
        <w:rPr>
          <w:rFonts w:cs="Times New Roman"/>
        </w:rPr>
        <w:t>(This case contains a discussion on the abuse of dominance prohibition and the use of economies of scale in the efficiency defence.)</w:t>
      </w:r>
    </w:p>
    <w:p w:rsidR="00790CB2" w:rsidRPr="000640FD" w:rsidRDefault="00790CB2" w:rsidP="000640FD">
      <w:pPr>
        <w:contextualSpacing/>
        <w:rPr>
          <w:rFonts w:cs="Times New Roman"/>
          <w:iCs/>
          <w:lang w:eastAsia="en-GB" w:bidi="en-GB"/>
        </w:rPr>
      </w:pPr>
    </w:p>
    <w:p w:rsidR="004A763A" w:rsidRPr="000640FD" w:rsidRDefault="00203993" w:rsidP="000640FD">
      <w:pPr>
        <w:contextualSpacing/>
        <w:rPr>
          <w:rFonts w:cs="Times New Roman"/>
        </w:rPr>
      </w:pPr>
      <w:r w:rsidRPr="000640FD">
        <w:rPr>
          <w:rFonts w:cs="Times New Roman"/>
        </w:rPr>
        <w:t>Tardiff TJ</w:t>
      </w:r>
    </w:p>
    <w:p w:rsidR="00203993" w:rsidRPr="000640FD" w:rsidRDefault="00203993" w:rsidP="000640FD">
      <w:pPr>
        <w:contextualSpacing/>
        <w:rPr>
          <w:rFonts w:cs="Times New Roman"/>
        </w:rPr>
      </w:pPr>
      <w:r w:rsidRPr="000640FD">
        <w:rPr>
          <w:rFonts w:cs="Times New Roman"/>
        </w:rPr>
        <w:t xml:space="preserve">2009. Efficiency Metrics For Competition Policy In Network Industries. </w:t>
      </w:r>
      <w:r w:rsidRPr="000640FD">
        <w:rPr>
          <w:rFonts w:cs="Times New Roman"/>
          <w:i/>
        </w:rPr>
        <w:t>Journal of Competition Law &amp; Economics</w:t>
      </w:r>
      <w:r w:rsidRPr="000640FD">
        <w:rPr>
          <w:rFonts w:cs="Times New Roman"/>
        </w:rPr>
        <w:t xml:space="preserve"> 6(4):957-972.</w:t>
      </w:r>
    </w:p>
    <w:p w:rsidR="00203993" w:rsidRPr="000640FD" w:rsidRDefault="00203993" w:rsidP="000640FD">
      <w:pPr>
        <w:contextualSpacing/>
        <w:rPr>
          <w:rFonts w:cs="Times New Roman"/>
        </w:rPr>
      </w:pPr>
      <w:r w:rsidRPr="000640FD">
        <w:rPr>
          <w:rFonts w:cs="Times New Roman"/>
        </w:rPr>
        <w:t>(This paper considers the relative importance of the different types of efficiencies and concludes that the most important efficiency for competition matters is that of dynamic efficiencies.)</w:t>
      </w:r>
    </w:p>
    <w:p w:rsidR="00203993" w:rsidRPr="000640FD" w:rsidRDefault="00203993" w:rsidP="000640FD">
      <w:pPr>
        <w:contextualSpacing/>
        <w:rPr>
          <w:rFonts w:cs="Times New Roman"/>
          <w:i/>
        </w:rPr>
      </w:pPr>
    </w:p>
    <w:p w:rsidR="00790CB2" w:rsidRPr="000640FD" w:rsidRDefault="00790CB2" w:rsidP="000640FD">
      <w:pPr>
        <w:contextualSpacing/>
        <w:rPr>
          <w:rFonts w:cs="Times New Roman"/>
          <w:i/>
        </w:rPr>
      </w:pPr>
      <w:r w:rsidRPr="000640FD">
        <w:rPr>
          <w:rFonts w:cs="Times New Roman"/>
          <w:i/>
        </w:rPr>
        <w:t>Telkom South Africa ltd/Business Connexion Group Ltd case no 51/LM/Jun06</w:t>
      </w:r>
    </w:p>
    <w:p w:rsidR="00790CB2" w:rsidRPr="000640FD" w:rsidRDefault="00790CB2" w:rsidP="000640FD">
      <w:pPr>
        <w:contextualSpacing/>
        <w:rPr>
          <w:rFonts w:cs="Times New Roman"/>
        </w:rPr>
      </w:pPr>
      <w:r w:rsidRPr="000640FD">
        <w:rPr>
          <w:rFonts w:cs="Times New Roman"/>
        </w:rPr>
        <w:t>(This case contains valuable information on horizontal mergers as well as the different types of efficiencies that are recognised by the South Africa competition authorities with regard to the efficiency defence.)</w:t>
      </w:r>
    </w:p>
    <w:p w:rsidR="00790CB2" w:rsidRPr="000640FD" w:rsidRDefault="00790CB2" w:rsidP="000640FD">
      <w:pPr>
        <w:contextualSpacing/>
        <w:rPr>
          <w:rFonts w:cs="Times New Roman"/>
        </w:rPr>
      </w:pPr>
    </w:p>
    <w:p w:rsidR="00790CB2" w:rsidRPr="000640FD" w:rsidRDefault="00790CB2" w:rsidP="000640FD">
      <w:pPr>
        <w:contextualSpacing/>
        <w:rPr>
          <w:rFonts w:cs="Times New Roman"/>
          <w:i/>
        </w:rPr>
      </w:pPr>
      <w:r w:rsidRPr="000640FD">
        <w:rPr>
          <w:rFonts w:cs="Times New Roman"/>
          <w:i/>
        </w:rPr>
        <w:t xml:space="preserve">Tiger Brands (Pty) Ltd/Langeberg Foods International (Pty) Ltd case no 46/LM/May05 </w:t>
      </w:r>
    </w:p>
    <w:p w:rsidR="00790CB2" w:rsidRPr="000640FD" w:rsidRDefault="00790CB2" w:rsidP="000640FD">
      <w:pPr>
        <w:contextualSpacing/>
        <w:rPr>
          <w:rFonts w:cs="Times New Roman"/>
        </w:rPr>
      </w:pPr>
      <w:r w:rsidRPr="000640FD">
        <w:rPr>
          <w:rFonts w:cs="Times New Roman"/>
        </w:rPr>
        <w:t>(This case addresse</w:t>
      </w:r>
      <w:r w:rsidR="00A4736E">
        <w:rPr>
          <w:rFonts w:cs="Times New Roman"/>
        </w:rPr>
        <w:t>d</w:t>
      </w:r>
      <w:r w:rsidRPr="000640FD">
        <w:rPr>
          <w:rFonts w:cs="Times New Roman"/>
        </w:rPr>
        <w:t xml:space="preserve"> several </w:t>
      </w:r>
      <w:r w:rsidR="00A4736E">
        <w:rPr>
          <w:rFonts w:cs="Times New Roman"/>
        </w:rPr>
        <w:t>issues</w:t>
      </w:r>
      <w:r w:rsidRPr="000640FD">
        <w:rPr>
          <w:rFonts w:cs="Times New Roman"/>
        </w:rPr>
        <w:t xml:space="preserve"> that will be </w:t>
      </w:r>
      <w:r w:rsidR="00A4736E">
        <w:rPr>
          <w:rFonts w:cs="Times New Roman"/>
        </w:rPr>
        <w:t>discussed</w:t>
      </w:r>
      <w:r w:rsidRPr="000640FD">
        <w:rPr>
          <w:rFonts w:cs="Times New Roman"/>
        </w:rPr>
        <w:t xml:space="preserve"> in this paper for example it contains</w:t>
      </w:r>
      <w:r w:rsidR="008E71AB" w:rsidRPr="000640FD">
        <w:rPr>
          <w:rFonts w:cs="Times New Roman"/>
        </w:rPr>
        <w:t xml:space="preserve"> a</w:t>
      </w:r>
      <w:r w:rsidRPr="000640FD">
        <w:rPr>
          <w:rFonts w:cs="Times New Roman"/>
        </w:rPr>
        <w:t xml:space="preserve"> discussion</w:t>
      </w:r>
      <w:r w:rsidR="008E71AB" w:rsidRPr="000640FD">
        <w:rPr>
          <w:rFonts w:cs="Times New Roman"/>
        </w:rPr>
        <w:t>,</w:t>
      </w:r>
      <w:r w:rsidRPr="000640FD">
        <w:rPr>
          <w:rFonts w:cs="Times New Roman"/>
        </w:rPr>
        <w:t xml:space="preserve"> among other things</w:t>
      </w:r>
      <w:r w:rsidR="008E71AB" w:rsidRPr="000640FD">
        <w:rPr>
          <w:rFonts w:cs="Times New Roman"/>
        </w:rPr>
        <w:t>,</w:t>
      </w:r>
      <w:r w:rsidRPr="000640FD">
        <w:rPr>
          <w:rFonts w:cs="Times New Roman"/>
        </w:rPr>
        <w:t xml:space="preserve"> on the need to balance the anti-competitive effects against the deficiency defence and it also considers the </w:t>
      </w:r>
      <w:r w:rsidR="00A4736E">
        <w:rPr>
          <w:rFonts w:cs="Times New Roman"/>
        </w:rPr>
        <w:t>issue</w:t>
      </w:r>
      <w:r w:rsidRPr="000640FD">
        <w:rPr>
          <w:rFonts w:cs="Times New Roman"/>
        </w:rPr>
        <w:t xml:space="preserve"> on whom should be favoured by the South African competition authorities</w:t>
      </w:r>
      <w:r w:rsidR="006B17D2" w:rsidRPr="000640FD">
        <w:rPr>
          <w:rFonts w:cs="Times New Roman"/>
        </w:rPr>
        <w:t xml:space="preserve"> with regard to the efficiency defence</w:t>
      </w:r>
      <w:r w:rsidRPr="000640FD">
        <w:rPr>
          <w:rFonts w:cs="Times New Roman"/>
        </w:rPr>
        <w:t>.)</w:t>
      </w:r>
    </w:p>
    <w:p w:rsidR="00790CB2" w:rsidRPr="000640FD" w:rsidRDefault="00790CB2" w:rsidP="000640FD">
      <w:pPr>
        <w:contextualSpacing/>
        <w:rPr>
          <w:rFonts w:cs="Times New Roman"/>
          <w:i/>
        </w:rPr>
      </w:pPr>
    </w:p>
    <w:p w:rsidR="00790CB2" w:rsidRPr="000640FD" w:rsidRDefault="00790CB2" w:rsidP="000640FD">
      <w:pPr>
        <w:contextualSpacing/>
        <w:rPr>
          <w:rFonts w:cs="Times New Roman"/>
        </w:rPr>
      </w:pPr>
      <w:r w:rsidRPr="000640FD">
        <w:rPr>
          <w:rFonts w:cs="Times New Roman"/>
          <w:i/>
        </w:rPr>
        <w:t xml:space="preserve">Trident Steel (Pty) Ltd/Dorbyl Ltd case no 89/LM/Oct00 </w:t>
      </w:r>
    </w:p>
    <w:p w:rsidR="00790CB2" w:rsidRPr="000640FD" w:rsidRDefault="00790CB2" w:rsidP="000640FD">
      <w:pPr>
        <w:contextualSpacing/>
        <w:rPr>
          <w:rFonts w:cs="Times New Roman"/>
        </w:rPr>
      </w:pPr>
      <w:r w:rsidRPr="000640FD">
        <w:rPr>
          <w:rFonts w:cs="Times New Roman"/>
        </w:rPr>
        <w:t>(This case laid the foundation for the different types of efficiencies that are recognized by the South African competition authorities with regard to the efficiency defence. This case also laid the foundation for several other issues with regard to the application of the efficiency defence in South Africa, some of which will be discussed in this paper.)</w:t>
      </w:r>
    </w:p>
    <w:p w:rsidR="00790CB2" w:rsidRPr="000640FD" w:rsidRDefault="00790CB2" w:rsidP="000640FD">
      <w:pPr>
        <w:contextualSpacing/>
        <w:jc w:val="both"/>
        <w:rPr>
          <w:rFonts w:cs="Times New Roman"/>
        </w:rPr>
      </w:pPr>
    </w:p>
    <w:p w:rsidR="00790CB2" w:rsidRPr="000640FD" w:rsidRDefault="00790CB2" w:rsidP="000640FD">
      <w:pPr>
        <w:contextualSpacing/>
        <w:jc w:val="both"/>
        <w:rPr>
          <w:rFonts w:cs="Times New Roman"/>
        </w:rPr>
      </w:pPr>
      <w:r w:rsidRPr="000640FD">
        <w:rPr>
          <w:rFonts w:cs="Times New Roman"/>
        </w:rPr>
        <w:t>Van Heerden HJ</w:t>
      </w:r>
      <w:r w:rsidR="002C732F">
        <w:rPr>
          <w:rFonts w:cs="Times New Roman"/>
        </w:rPr>
        <w:t>O</w:t>
      </w:r>
      <w:r w:rsidRPr="000640FD">
        <w:rPr>
          <w:rFonts w:cs="Times New Roman"/>
        </w:rPr>
        <w:t xml:space="preserve"> and Neethling</w:t>
      </w:r>
      <w:r w:rsidR="002C732F">
        <w:rPr>
          <w:rFonts w:cs="Times New Roman"/>
        </w:rPr>
        <w:t xml:space="preserve"> J</w:t>
      </w:r>
    </w:p>
    <w:p w:rsidR="00790CB2" w:rsidRPr="000640FD" w:rsidRDefault="00790CB2" w:rsidP="000640FD">
      <w:pPr>
        <w:contextualSpacing/>
        <w:jc w:val="both"/>
        <w:rPr>
          <w:rFonts w:cs="Times New Roman"/>
        </w:rPr>
      </w:pPr>
      <w:r w:rsidRPr="000640FD">
        <w:rPr>
          <w:rFonts w:cs="Times New Roman"/>
        </w:rPr>
        <w:t xml:space="preserve">1995. </w:t>
      </w:r>
      <w:r w:rsidRPr="000640FD">
        <w:rPr>
          <w:rFonts w:cs="Times New Roman"/>
          <w:i/>
        </w:rPr>
        <w:t>Unlawful Competition</w:t>
      </w:r>
      <w:r w:rsidRPr="000640FD">
        <w:rPr>
          <w:rFonts w:cs="Times New Roman"/>
        </w:rPr>
        <w:t>. 1</w:t>
      </w:r>
      <w:r w:rsidRPr="000640FD">
        <w:rPr>
          <w:rFonts w:cs="Times New Roman"/>
          <w:vertAlign w:val="superscript"/>
        </w:rPr>
        <w:t>st</w:t>
      </w:r>
      <w:r w:rsidRPr="000640FD">
        <w:rPr>
          <w:rFonts w:cs="Times New Roman"/>
        </w:rPr>
        <w:t xml:space="preserve"> ed. Durban: LexisNexis Butterworths.</w:t>
      </w:r>
    </w:p>
    <w:p w:rsidR="00790CB2" w:rsidRPr="000640FD" w:rsidRDefault="00790CB2" w:rsidP="000640FD">
      <w:pPr>
        <w:contextualSpacing/>
        <w:jc w:val="both"/>
        <w:rPr>
          <w:rFonts w:cs="Times New Roman"/>
        </w:rPr>
      </w:pPr>
      <w:r w:rsidRPr="000640FD">
        <w:rPr>
          <w:rFonts w:cs="Times New Roman"/>
        </w:rPr>
        <w:t>(This textbook contains a</w:t>
      </w:r>
      <w:r w:rsidR="00BF0976">
        <w:rPr>
          <w:rFonts w:cs="Times New Roman"/>
        </w:rPr>
        <w:t xml:space="preserve"> detailed </w:t>
      </w:r>
      <w:r w:rsidRPr="000640FD">
        <w:rPr>
          <w:rFonts w:cs="Times New Roman"/>
        </w:rPr>
        <w:t>discussion on the development of the Competition Act 89/1998.)</w:t>
      </w:r>
    </w:p>
    <w:p w:rsidR="00B458F9" w:rsidRPr="000640FD" w:rsidRDefault="00B458F9" w:rsidP="000640FD">
      <w:pPr>
        <w:contextualSpacing/>
        <w:jc w:val="both"/>
        <w:rPr>
          <w:rFonts w:cs="Times New Roman"/>
        </w:rPr>
      </w:pPr>
    </w:p>
    <w:p w:rsidR="00B458F9" w:rsidRPr="000640FD" w:rsidRDefault="00B458F9" w:rsidP="000640FD">
      <w:pPr>
        <w:contextualSpacing/>
        <w:rPr>
          <w:rFonts w:cs="Times New Roman"/>
        </w:rPr>
      </w:pPr>
      <w:r w:rsidRPr="000640FD">
        <w:rPr>
          <w:rFonts w:cs="Times New Roman"/>
        </w:rPr>
        <w:t>Williamson OE</w:t>
      </w:r>
    </w:p>
    <w:p w:rsidR="00B458F9" w:rsidRPr="000640FD" w:rsidRDefault="00B458F9" w:rsidP="000640FD">
      <w:pPr>
        <w:contextualSpacing/>
        <w:rPr>
          <w:rFonts w:cs="Times New Roman"/>
        </w:rPr>
      </w:pPr>
      <w:r w:rsidRPr="000640FD">
        <w:rPr>
          <w:rFonts w:cs="Times New Roman"/>
        </w:rPr>
        <w:t xml:space="preserve">1968. Economies as an Antitrust Defence: The Welfare Tradeoffs. </w:t>
      </w:r>
      <w:r w:rsidRPr="000640FD">
        <w:rPr>
          <w:rFonts w:cs="Times New Roman"/>
          <w:i/>
        </w:rPr>
        <w:t>The American Economic Review</w:t>
      </w:r>
      <w:r w:rsidRPr="000640FD">
        <w:rPr>
          <w:rFonts w:cs="Times New Roman"/>
        </w:rPr>
        <w:t xml:space="preserve"> 58(1):18-36.</w:t>
      </w:r>
    </w:p>
    <w:p w:rsidR="00E079FE" w:rsidRPr="000640FD" w:rsidRDefault="00E079FE" w:rsidP="000640FD">
      <w:pPr>
        <w:contextualSpacing/>
        <w:rPr>
          <w:rFonts w:cs="Times New Roman"/>
        </w:rPr>
      </w:pPr>
      <w:r w:rsidRPr="000640FD">
        <w:rPr>
          <w:rFonts w:cs="Times New Roman"/>
        </w:rPr>
        <w:t>(This article laid the foundation for the maximisation of consumer welfare in competition matters. In this article</w:t>
      </w:r>
      <w:r w:rsidR="00D500D0" w:rsidRPr="000640FD">
        <w:rPr>
          <w:rFonts w:cs="Times New Roman"/>
        </w:rPr>
        <w:t>,</w:t>
      </w:r>
      <w:r w:rsidRPr="000640FD">
        <w:rPr>
          <w:rFonts w:cs="Times New Roman"/>
        </w:rPr>
        <w:t xml:space="preserve"> the author formulated a mathematical algorithm, which can be used to balance the anti-competitive </w:t>
      </w:r>
      <w:r w:rsidR="0025417C" w:rsidRPr="000640FD">
        <w:rPr>
          <w:rFonts w:cs="Times New Roman"/>
        </w:rPr>
        <w:t>effects</w:t>
      </w:r>
      <w:r w:rsidR="00BF0976">
        <w:rPr>
          <w:rFonts w:cs="Times New Roman"/>
        </w:rPr>
        <w:t xml:space="preserve"> against the pro-competitive</w:t>
      </w:r>
      <w:r w:rsidRPr="000640FD">
        <w:rPr>
          <w:rFonts w:cs="Times New Roman"/>
        </w:rPr>
        <w:t xml:space="preserve"> </w:t>
      </w:r>
      <w:r w:rsidR="0025417C" w:rsidRPr="000640FD">
        <w:rPr>
          <w:rFonts w:cs="Times New Roman"/>
        </w:rPr>
        <w:t>effects</w:t>
      </w:r>
      <w:r w:rsidRPr="000640FD">
        <w:rPr>
          <w:rFonts w:cs="Times New Roman"/>
        </w:rPr>
        <w:t>.)</w:t>
      </w:r>
    </w:p>
    <w:p w:rsidR="007F4179" w:rsidRPr="000640FD" w:rsidRDefault="007F4179" w:rsidP="000640FD">
      <w:pPr>
        <w:contextualSpacing/>
        <w:jc w:val="both"/>
        <w:rPr>
          <w:rFonts w:cs="Times New Roman"/>
        </w:rPr>
      </w:pPr>
    </w:p>
    <w:p w:rsidR="007F4179" w:rsidRPr="000640FD" w:rsidRDefault="007F4179" w:rsidP="000640FD">
      <w:pPr>
        <w:contextualSpacing/>
        <w:jc w:val="both"/>
        <w:rPr>
          <w:rFonts w:cs="Times New Roman"/>
        </w:rPr>
      </w:pPr>
    </w:p>
    <w:p w:rsidR="00790CB2" w:rsidRPr="000640FD" w:rsidRDefault="00790CB2" w:rsidP="000640FD">
      <w:pPr>
        <w:contextualSpacing/>
        <w:jc w:val="both"/>
        <w:rPr>
          <w:rFonts w:cs="Times New Roman"/>
        </w:rPr>
      </w:pPr>
    </w:p>
    <w:p w:rsidR="008632C7" w:rsidRPr="000640FD" w:rsidRDefault="008632C7" w:rsidP="000640FD">
      <w:pPr>
        <w:contextualSpacing/>
        <w:jc w:val="both"/>
        <w:rPr>
          <w:rFonts w:cs="Times New Roman"/>
        </w:rPr>
      </w:pPr>
    </w:p>
    <w:p w:rsidR="00790CB2" w:rsidRPr="000640FD" w:rsidRDefault="00790CB2" w:rsidP="000640FD">
      <w:pPr>
        <w:contextualSpacing/>
        <w:jc w:val="both"/>
        <w:rPr>
          <w:rFonts w:cs="Times New Roman"/>
          <w:b/>
          <w:bCs/>
        </w:rPr>
      </w:pPr>
    </w:p>
    <w:p w:rsidR="00790CB2" w:rsidRPr="000640FD" w:rsidRDefault="00790CB2" w:rsidP="000640FD">
      <w:pPr>
        <w:contextualSpacing/>
        <w:jc w:val="both"/>
        <w:rPr>
          <w:rFonts w:cs="Times New Roman"/>
          <w:b/>
          <w:bCs/>
        </w:rPr>
      </w:pPr>
    </w:p>
    <w:p w:rsidR="00790CB2" w:rsidRPr="000640FD" w:rsidRDefault="00790CB2" w:rsidP="000640FD">
      <w:pPr>
        <w:contextualSpacing/>
        <w:jc w:val="both"/>
        <w:rPr>
          <w:rFonts w:cs="Times New Roman"/>
          <w:b/>
          <w:bCs/>
        </w:rPr>
      </w:pPr>
    </w:p>
    <w:p w:rsidR="000640FD" w:rsidRPr="000640FD" w:rsidRDefault="002E7196" w:rsidP="009B5ABF">
      <w:pPr>
        <w:contextualSpacing/>
        <w:jc w:val="center"/>
        <w:rPr>
          <w:rFonts w:cs="Times New Roman"/>
          <w:b/>
          <w:bCs/>
        </w:rPr>
      </w:pPr>
      <w:r w:rsidRPr="000640FD">
        <w:rPr>
          <w:rFonts w:cs="Times New Roman"/>
          <w:b/>
          <w:bCs/>
        </w:rPr>
        <w:lastRenderedPageBreak/>
        <w:t>7. Research schedule</w:t>
      </w:r>
    </w:p>
    <w:tbl>
      <w:tblPr>
        <w:tblStyle w:val="TableGrid"/>
        <w:tblW w:w="0" w:type="auto"/>
        <w:tblBorders>
          <w:bottom w:val="none" w:sz="0" w:space="0" w:color="auto"/>
        </w:tblBorders>
        <w:tblLook w:val="04A0"/>
      </w:tblPr>
      <w:tblGrid>
        <w:gridCol w:w="2093"/>
        <w:gridCol w:w="1417"/>
        <w:gridCol w:w="3402"/>
        <w:gridCol w:w="2942"/>
      </w:tblGrid>
      <w:tr w:rsidR="00164910" w:rsidRPr="000640FD" w:rsidTr="00BB3699">
        <w:tc>
          <w:tcPr>
            <w:tcW w:w="2093" w:type="dxa"/>
          </w:tcPr>
          <w:p w:rsidR="00164910" w:rsidRPr="000640FD" w:rsidRDefault="00164910" w:rsidP="000640FD">
            <w:pPr>
              <w:spacing w:line="360" w:lineRule="auto"/>
              <w:contextualSpacing/>
              <w:jc w:val="center"/>
              <w:rPr>
                <w:rFonts w:cs="Times New Roman"/>
                <w:iCs/>
                <w:sz w:val="24"/>
                <w:szCs w:val="24"/>
                <w:lang w:eastAsia="en-GB" w:bidi="en-GB"/>
              </w:rPr>
            </w:pPr>
            <w:r w:rsidRPr="000640FD">
              <w:rPr>
                <w:rFonts w:cs="Times New Roman"/>
                <w:iCs/>
                <w:sz w:val="24"/>
                <w:szCs w:val="24"/>
                <w:lang w:eastAsia="en-GB" w:bidi="en-GB"/>
              </w:rPr>
              <w:t>Dates</w:t>
            </w:r>
          </w:p>
        </w:tc>
        <w:tc>
          <w:tcPr>
            <w:tcW w:w="1417" w:type="dxa"/>
          </w:tcPr>
          <w:p w:rsidR="00164910" w:rsidRPr="000640FD" w:rsidRDefault="00164910" w:rsidP="000640FD">
            <w:pPr>
              <w:spacing w:line="360" w:lineRule="auto"/>
              <w:contextualSpacing/>
              <w:jc w:val="center"/>
              <w:rPr>
                <w:rFonts w:cs="Times New Roman"/>
                <w:iCs/>
                <w:sz w:val="24"/>
                <w:szCs w:val="24"/>
                <w:lang w:eastAsia="en-GB" w:bidi="en-GB"/>
              </w:rPr>
            </w:pPr>
            <w:r w:rsidRPr="000640FD">
              <w:rPr>
                <w:rFonts w:cs="Times New Roman"/>
                <w:iCs/>
                <w:sz w:val="24"/>
                <w:szCs w:val="24"/>
                <w:lang w:eastAsia="en-GB" w:bidi="en-GB"/>
              </w:rPr>
              <w:t>Time Period</w:t>
            </w:r>
          </w:p>
        </w:tc>
        <w:tc>
          <w:tcPr>
            <w:tcW w:w="3402" w:type="dxa"/>
          </w:tcPr>
          <w:p w:rsidR="00164910" w:rsidRPr="000640FD" w:rsidRDefault="00164910" w:rsidP="000640FD">
            <w:pPr>
              <w:spacing w:line="360" w:lineRule="auto"/>
              <w:contextualSpacing/>
              <w:jc w:val="center"/>
              <w:rPr>
                <w:rFonts w:cs="Times New Roman"/>
                <w:iCs/>
                <w:sz w:val="24"/>
                <w:szCs w:val="24"/>
                <w:lang w:eastAsia="en-GB" w:bidi="en-GB"/>
              </w:rPr>
            </w:pPr>
            <w:r w:rsidRPr="000640FD">
              <w:rPr>
                <w:rFonts w:cs="Times New Roman"/>
                <w:iCs/>
                <w:sz w:val="24"/>
                <w:szCs w:val="24"/>
                <w:lang w:eastAsia="en-GB" w:bidi="en-GB"/>
              </w:rPr>
              <w:t>Work to be done</w:t>
            </w:r>
          </w:p>
        </w:tc>
        <w:tc>
          <w:tcPr>
            <w:tcW w:w="2942" w:type="dxa"/>
          </w:tcPr>
          <w:p w:rsidR="00164910" w:rsidRPr="000640FD" w:rsidRDefault="00164910" w:rsidP="000640FD">
            <w:pPr>
              <w:spacing w:line="360" w:lineRule="auto"/>
              <w:contextualSpacing/>
              <w:jc w:val="center"/>
              <w:rPr>
                <w:rFonts w:cs="Times New Roman"/>
                <w:iCs/>
                <w:sz w:val="24"/>
                <w:szCs w:val="24"/>
                <w:lang w:eastAsia="en-GB" w:bidi="en-GB"/>
              </w:rPr>
            </w:pPr>
            <w:r w:rsidRPr="000640FD">
              <w:rPr>
                <w:rFonts w:cs="Times New Roman"/>
                <w:iCs/>
                <w:sz w:val="24"/>
                <w:szCs w:val="24"/>
                <w:lang w:eastAsia="en-GB" w:bidi="en-GB"/>
              </w:rPr>
              <w:t>Outcomes</w:t>
            </w:r>
          </w:p>
        </w:tc>
      </w:tr>
      <w:tr w:rsidR="00164910" w:rsidRPr="000640FD" w:rsidTr="00BB3699">
        <w:tc>
          <w:tcPr>
            <w:tcW w:w="2093" w:type="dxa"/>
          </w:tcPr>
          <w:p w:rsidR="00164910" w:rsidRPr="000640FD" w:rsidRDefault="00AF3DDD"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 xml:space="preserve">11 </w:t>
            </w:r>
            <w:r w:rsidR="00164910" w:rsidRPr="000640FD">
              <w:rPr>
                <w:rFonts w:cs="Times New Roman"/>
                <w:iCs/>
                <w:sz w:val="24"/>
                <w:szCs w:val="24"/>
                <w:lang w:eastAsia="en-GB" w:bidi="en-GB"/>
              </w:rPr>
              <w:t xml:space="preserve">– 18 March. </w:t>
            </w:r>
          </w:p>
        </w:tc>
        <w:tc>
          <w:tcPr>
            <w:tcW w:w="1417"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1 Week.</w:t>
            </w:r>
          </w:p>
        </w:tc>
        <w:tc>
          <w:tcPr>
            <w:tcW w:w="340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Preparation of research proposal.</w:t>
            </w:r>
          </w:p>
        </w:tc>
        <w:tc>
          <w:tcPr>
            <w:tcW w:w="294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Hand in the research proposal.</w:t>
            </w:r>
          </w:p>
        </w:tc>
      </w:tr>
      <w:tr w:rsidR="00164910" w:rsidRPr="000640FD" w:rsidTr="00BB3699">
        <w:tc>
          <w:tcPr>
            <w:tcW w:w="2093"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18 – 25 March.</w:t>
            </w:r>
          </w:p>
        </w:tc>
        <w:tc>
          <w:tcPr>
            <w:tcW w:w="1417"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1 Week.</w:t>
            </w:r>
          </w:p>
        </w:tc>
        <w:tc>
          <w:tcPr>
            <w:tcW w:w="340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Research, write and hand in chapter 1.</w:t>
            </w:r>
          </w:p>
        </w:tc>
        <w:tc>
          <w:tcPr>
            <w:tcW w:w="294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Hand in chapter 1.</w:t>
            </w:r>
          </w:p>
        </w:tc>
      </w:tr>
      <w:tr w:rsidR="00164910" w:rsidRPr="000640FD" w:rsidTr="00BB3699">
        <w:tc>
          <w:tcPr>
            <w:tcW w:w="2093" w:type="dxa"/>
          </w:tcPr>
          <w:p w:rsidR="00164910" w:rsidRPr="000640FD" w:rsidRDefault="00475E4D"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25</w:t>
            </w:r>
            <w:r w:rsidR="00164910" w:rsidRPr="000640FD">
              <w:rPr>
                <w:rFonts w:cs="Times New Roman"/>
                <w:iCs/>
                <w:sz w:val="24"/>
                <w:szCs w:val="24"/>
                <w:lang w:eastAsia="en-GB" w:bidi="en-GB"/>
              </w:rPr>
              <w:t xml:space="preserve"> </w:t>
            </w:r>
            <w:r w:rsidR="00AF3DDD" w:rsidRPr="000640FD">
              <w:rPr>
                <w:rFonts w:cs="Times New Roman"/>
                <w:iCs/>
                <w:sz w:val="24"/>
                <w:szCs w:val="24"/>
                <w:lang w:eastAsia="en-GB" w:bidi="en-GB"/>
              </w:rPr>
              <w:t xml:space="preserve">March </w:t>
            </w:r>
            <w:r w:rsidR="00164910" w:rsidRPr="000640FD">
              <w:rPr>
                <w:rFonts w:cs="Times New Roman"/>
                <w:iCs/>
                <w:sz w:val="24"/>
                <w:szCs w:val="24"/>
                <w:lang w:eastAsia="en-GB" w:bidi="en-GB"/>
              </w:rPr>
              <w:t xml:space="preserve">– </w:t>
            </w:r>
            <w:r w:rsidRPr="000640FD">
              <w:rPr>
                <w:rFonts w:cs="Times New Roman"/>
                <w:iCs/>
                <w:sz w:val="24"/>
                <w:szCs w:val="24"/>
                <w:lang w:eastAsia="en-GB" w:bidi="en-GB"/>
              </w:rPr>
              <w:t>29</w:t>
            </w:r>
            <w:r w:rsidR="00164910" w:rsidRPr="000640FD">
              <w:rPr>
                <w:rFonts w:cs="Times New Roman"/>
                <w:iCs/>
                <w:sz w:val="24"/>
                <w:szCs w:val="24"/>
                <w:lang w:eastAsia="en-GB" w:bidi="en-GB"/>
              </w:rPr>
              <w:t xml:space="preserve"> </w:t>
            </w:r>
            <w:r w:rsidRPr="000640FD">
              <w:rPr>
                <w:rFonts w:cs="Times New Roman"/>
                <w:iCs/>
                <w:sz w:val="24"/>
                <w:szCs w:val="24"/>
                <w:lang w:eastAsia="en-GB" w:bidi="en-GB"/>
              </w:rPr>
              <w:t>April</w:t>
            </w:r>
            <w:r w:rsidR="00164910" w:rsidRPr="000640FD">
              <w:rPr>
                <w:rFonts w:cs="Times New Roman"/>
                <w:iCs/>
                <w:sz w:val="24"/>
                <w:szCs w:val="24"/>
                <w:lang w:eastAsia="en-GB" w:bidi="en-GB"/>
              </w:rPr>
              <w:t>.</w:t>
            </w:r>
          </w:p>
        </w:tc>
        <w:tc>
          <w:tcPr>
            <w:tcW w:w="1417" w:type="dxa"/>
          </w:tcPr>
          <w:p w:rsidR="00164910" w:rsidRPr="000640FD" w:rsidRDefault="00475E4D"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5</w:t>
            </w:r>
            <w:r w:rsidR="00164910" w:rsidRPr="000640FD">
              <w:rPr>
                <w:rFonts w:cs="Times New Roman"/>
                <w:iCs/>
                <w:sz w:val="24"/>
                <w:szCs w:val="24"/>
                <w:lang w:eastAsia="en-GB" w:bidi="en-GB"/>
              </w:rPr>
              <w:t xml:space="preserve"> Weeks.</w:t>
            </w:r>
          </w:p>
        </w:tc>
        <w:tc>
          <w:tcPr>
            <w:tcW w:w="340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Research, write and hand in chapter 2.</w:t>
            </w:r>
          </w:p>
        </w:tc>
        <w:tc>
          <w:tcPr>
            <w:tcW w:w="294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Hand in the 1</w:t>
            </w:r>
            <w:r w:rsidRPr="000640FD">
              <w:rPr>
                <w:rFonts w:cs="Times New Roman"/>
                <w:iCs/>
                <w:sz w:val="24"/>
                <w:szCs w:val="24"/>
                <w:vertAlign w:val="superscript"/>
                <w:lang w:eastAsia="en-GB" w:bidi="en-GB"/>
              </w:rPr>
              <w:t>st</w:t>
            </w:r>
            <w:r w:rsidRPr="000640FD">
              <w:rPr>
                <w:rFonts w:cs="Times New Roman"/>
                <w:iCs/>
                <w:sz w:val="24"/>
                <w:szCs w:val="24"/>
                <w:lang w:eastAsia="en-GB" w:bidi="en-GB"/>
              </w:rPr>
              <w:t xml:space="preserve"> draft of chapter 2.</w:t>
            </w:r>
          </w:p>
        </w:tc>
      </w:tr>
      <w:tr w:rsidR="00164910" w:rsidRPr="000640FD" w:rsidTr="00BB3699">
        <w:tc>
          <w:tcPr>
            <w:tcW w:w="2093" w:type="dxa"/>
          </w:tcPr>
          <w:p w:rsidR="00164910" w:rsidRPr="000640FD" w:rsidRDefault="00475E4D"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29</w:t>
            </w:r>
            <w:r w:rsidR="00164910" w:rsidRPr="000640FD">
              <w:rPr>
                <w:rFonts w:cs="Times New Roman"/>
                <w:iCs/>
                <w:sz w:val="24"/>
                <w:szCs w:val="24"/>
                <w:lang w:eastAsia="en-GB" w:bidi="en-GB"/>
              </w:rPr>
              <w:t xml:space="preserve"> </w:t>
            </w:r>
            <w:r w:rsidRPr="000640FD">
              <w:rPr>
                <w:rFonts w:cs="Times New Roman"/>
                <w:iCs/>
                <w:sz w:val="24"/>
                <w:szCs w:val="24"/>
                <w:lang w:eastAsia="en-GB" w:bidi="en-GB"/>
              </w:rPr>
              <w:t xml:space="preserve">April </w:t>
            </w:r>
            <w:r w:rsidR="00164910" w:rsidRPr="000640FD">
              <w:rPr>
                <w:rFonts w:cs="Times New Roman"/>
                <w:iCs/>
                <w:sz w:val="24"/>
                <w:szCs w:val="24"/>
                <w:lang w:eastAsia="en-GB" w:bidi="en-GB"/>
              </w:rPr>
              <w:t xml:space="preserve">– </w:t>
            </w:r>
            <w:r w:rsidRPr="000640FD">
              <w:rPr>
                <w:rFonts w:cs="Times New Roman"/>
                <w:iCs/>
                <w:sz w:val="24"/>
                <w:szCs w:val="24"/>
                <w:lang w:eastAsia="en-GB" w:bidi="en-GB"/>
              </w:rPr>
              <w:t xml:space="preserve">9 </w:t>
            </w:r>
            <w:r w:rsidR="00164910" w:rsidRPr="000640FD">
              <w:rPr>
                <w:rFonts w:cs="Times New Roman"/>
                <w:iCs/>
                <w:sz w:val="24"/>
                <w:szCs w:val="24"/>
                <w:lang w:eastAsia="en-GB" w:bidi="en-GB"/>
              </w:rPr>
              <w:t>Mei.</w:t>
            </w:r>
          </w:p>
        </w:tc>
        <w:tc>
          <w:tcPr>
            <w:tcW w:w="1417"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10 Days.</w:t>
            </w:r>
          </w:p>
        </w:tc>
        <w:tc>
          <w:tcPr>
            <w:tcW w:w="340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Marking and feedback on chapter 2.</w:t>
            </w:r>
          </w:p>
        </w:tc>
        <w:tc>
          <w:tcPr>
            <w:tcW w:w="294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Learn from your mistakes.</w:t>
            </w:r>
          </w:p>
        </w:tc>
      </w:tr>
      <w:tr w:rsidR="00164910" w:rsidRPr="000640FD" w:rsidTr="00BB3699">
        <w:tc>
          <w:tcPr>
            <w:tcW w:w="2093" w:type="dxa"/>
          </w:tcPr>
          <w:p w:rsidR="00164910" w:rsidRPr="000640FD" w:rsidRDefault="00475E4D"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9</w:t>
            </w:r>
            <w:r w:rsidR="00AF3DDD" w:rsidRPr="000640FD">
              <w:rPr>
                <w:rFonts w:cs="Times New Roman"/>
                <w:iCs/>
                <w:sz w:val="24"/>
                <w:szCs w:val="24"/>
                <w:lang w:eastAsia="en-GB" w:bidi="en-GB"/>
              </w:rPr>
              <w:t xml:space="preserve"> Mei</w:t>
            </w:r>
            <w:r w:rsidR="00164910" w:rsidRPr="000640FD">
              <w:rPr>
                <w:rFonts w:cs="Times New Roman"/>
                <w:iCs/>
                <w:sz w:val="24"/>
                <w:szCs w:val="24"/>
                <w:lang w:eastAsia="en-GB" w:bidi="en-GB"/>
              </w:rPr>
              <w:t xml:space="preserve"> – </w:t>
            </w:r>
            <w:r w:rsidRPr="000640FD">
              <w:rPr>
                <w:rFonts w:cs="Times New Roman"/>
                <w:iCs/>
                <w:sz w:val="24"/>
                <w:szCs w:val="24"/>
                <w:lang w:eastAsia="en-GB" w:bidi="en-GB"/>
              </w:rPr>
              <w:t>16</w:t>
            </w:r>
            <w:r w:rsidR="00164910" w:rsidRPr="000640FD">
              <w:rPr>
                <w:rFonts w:cs="Times New Roman"/>
                <w:iCs/>
                <w:sz w:val="24"/>
                <w:szCs w:val="24"/>
                <w:lang w:eastAsia="en-GB" w:bidi="en-GB"/>
              </w:rPr>
              <w:t xml:space="preserve"> Mei.</w:t>
            </w:r>
          </w:p>
        </w:tc>
        <w:tc>
          <w:tcPr>
            <w:tcW w:w="1417" w:type="dxa"/>
          </w:tcPr>
          <w:p w:rsidR="00164910" w:rsidRPr="000640FD" w:rsidRDefault="00475E4D"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7</w:t>
            </w:r>
            <w:r w:rsidR="00164910" w:rsidRPr="000640FD">
              <w:rPr>
                <w:rFonts w:cs="Times New Roman"/>
                <w:iCs/>
                <w:sz w:val="24"/>
                <w:szCs w:val="24"/>
                <w:lang w:eastAsia="en-GB" w:bidi="en-GB"/>
              </w:rPr>
              <w:t xml:space="preserve"> Days.</w:t>
            </w:r>
          </w:p>
        </w:tc>
        <w:tc>
          <w:tcPr>
            <w:tcW w:w="340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Rewrite and hand in chapter 2.</w:t>
            </w:r>
          </w:p>
        </w:tc>
        <w:tc>
          <w:tcPr>
            <w:tcW w:w="294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Fix the inadequacies in your first draft.</w:t>
            </w:r>
          </w:p>
        </w:tc>
      </w:tr>
      <w:tr w:rsidR="00164910" w:rsidRPr="000640FD" w:rsidTr="00BB3699">
        <w:tc>
          <w:tcPr>
            <w:tcW w:w="2093" w:type="dxa"/>
          </w:tcPr>
          <w:p w:rsidR="00164910" w:rsidRPr="000640FD" w:rsidRDefault="00475E4D"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16</w:t>
            </w:r>
            <w:r w:rsidR="00164910" w:rsidRPr="000640FD">
              <w:rPr>
                <w:rFonts w:cs="Times New Roman"/>
                <w:iCs/>
                <w:sz w:val="24"/>
                <w:szCs w:val="24"/>
                <w:lang w:eastAsia="en-GB" w:bidi="en-GB"/>
              </w:rPr>
              <w:t xml:space="preserve"> </w:t>
            </w:r>
            <w:r w:rsidRPr="000640FD">
              <w:rPr>
                <w:rFonts w:cs="Times New Roman"/>
                <w:iCs/>
                <w:sz w:val="24"/>
                <w:szCs w:val="24"/>
                <w:lang w:eastAsia="en-GB" w:bidi="en-GB"/>
              </w:rPr>
              <w:t xml:space="preserve">Mei </w:t>
            </w:r>
            <w:r w:rsidR="00164910" w:rsidRPr="000640FD">
              <w:rPr>
                <w:rFonts w:cs="Times New Roman"/>
                <w:iCs/>
                <w:sz w:val="24"/>
                <w:szCs w:val="24"/>
                <w:lang w:eastAsia="en-GB" w:bidi="en-GB"/>
              </w:rPr>
              <w:t xml:space="preserve">– </w:t>
            </w:r>
            <w:r w:rsidRPr="000640FD">
              <w:rPr>
                <w:rFonts w:cs="Times New Roman"/>
                <w:iCs/>
                <w:sz w:val="24"/>
                <w:szCs w:val="24"/>
                <w:lang w:eastAsia="en-GB" w:bidi="en-GB"/>
              </w:rPr>
              <w:t xml:space="preserve">17 </w:t>
            </w:r>
            <w:r w:rsidR="00164910" w:rsidRPr="000640FD">
              <w:rPr>
                <w:rFonts w:cs="Times New Roman"/>
                <w:iCs/>
                <w:sz w:val="24"/>
                <w:szCs w:val="24"/>
                <w:lang w:eastAsia="en-GB" w:bidi="en-GB"/>
              </w:rPr>
              <w:t>Ju</w:t>
            </w:r>
            <w:r w:rsidRPr="000640FD">
              <w:rPr>
                <w:rFonts w:cs="Times New Roman"/>
                <w:iCs/>
                <w:sz w:val="24"/>
                <w:szCs w:val="24"/>
                <w:lang w:eastAsia="en-GB" w:bidi="en-GB"/>
              </w:rPr>
              <w:t>ne</w:t>
            </w:r>
            <w:r w:rsidR="00164910" w:rsidRPr="000640FD">
              <w:rPr>
                <w:rFonts w:cs="Times New Roman"/>
                <w:iCs/>
                <w:sz w:val="24"/>
                <w:szCs w:val="24"/>
                <w:lang w:eastAsia="en-GB" w:bidi="en-GB"/>
              </w:rPr>
              <w:t>.</w:t>
            </w:r>
          </w:p>
        </w:tc>
        <w:tc>
          <w:tcPr>
            <w:tcW w:w="1417" w:type="dxa"/>
          </w:tcPr>
          <w:p w:rsidR="00164910" w:rsidRPr="000640FD" w:rsidRDefault="00475E4D"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5</w:t>
            </w:r>
            <w:r w:rsidR="00164910" w:rsidRPr="000640FD">
              <w:rPr>
                <w:rFonts w:cs="Times New Roman"/>
                <w:iCs/>
                <w:sz w:val="24"/>
                <w:szCs w:val="24"/>
                <w:lang w:eastAsia="en-GB" w:bidi="en-GB"/>
              </w:rPr>
              <w:t xml:space="preserve"> Weeks.</w:t>
            </w:r>
          </w:p>
        </w:tc>
        <w:tc>
          <w:tcPr>
            <w:tcW w:w="340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Research, write and hand in chapter 3.</w:t>
            </w:r>
          </w:p>
        </w:tc>
        <w:tc>
          <w:tcPr>
            <w:tcW w:w="294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Hand in the 1</w:t>
            </w:r>
            <w:r w:rsidRPr="000640FD">
              <w:rPr>
                <w:rFonts w:cs="Times New Roman"/>
                <w:iCs/>
                <w:sz w:val="24"/>
                <w:szCs w:val="24"/>
                <w:vertAlign w:val="superscript"/>
                <w:lang w:eastAsia="en-GB" w:bidi="en-GB"/>
              </w:rPr>
              <w:t>st</w:t>
            </w:r>
            <w:r w:rsidRPr="000640FD">
              <w:rPr>
                <w:rFonts w:cs="Times New Roman"/>
                <w:iCs/>
                <w:sz w:val="24"/>
                <w:szCs w:val="24"/>
                <w:lang w:eastAsia="en-GB" w:bidi="en-GB"/>
              </w:rPr>
              <w:t xml:space="preserve"> draft of chapter 3.</w:t>
            </w:r>
          </w:p>
        </w:tc>
      </w:tr>
      <w:tr w:rsidR="00164910" w:rsidRPr="000640FD" w:rsidTr="00BB3699">
        <w:tc>
          <w:tcPr>
            <w:tcW w:w="2093"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1</w:t>
            </w:r>
            <w:r w:rsidR="00475E4D" w:rsidRPr="000640FD">
              <w:rPr>
                <w:rFonts w:cs="Times New Roman"/>
                <w:iCs/>
                <w:sz w:val="24"/>
                <w:szCs w:val="24"/>
                <w:lang w:eastAsia="en-GB" w:bidi="en-GB"/>
              </w:rPr>
              <w:t>7</w:t>
            </w:r>
            <w:r w:rsidRPr="000640FD">
              <w:rPr>
                <w:rFonts w:cs="Times New Roman"/>
                <w:iCs/>
                <w:sz w:val="24"/>
                <w:szCs w:val="24"/>
                <w:lang w:eastAsia="en-GB" w:bidi="en-GB"/>
              </w:rPr>
              <w:t xml:space="preserve"> - </w:t>
            </w:r>
            <w:r w:rsidR="00475E4D" w:rsidRPr="000640FD">
              <w:rPr>
                <w:rFonts w:cs="Times New Roman"/>
                <w:iCs/>
                <w:sz w:val="24"/>
                <w:szCs w:val="24"/>
                <w:lang w:eastAsia="en-GB" w:bidi="en-GB"/>
              </w:rPr>
              <w:t>27</w:t>
            </w:r>
            <w:r w:rsidRPr="000640FD">
              <w:rPr>
                <w:rFonts w:cs="Times New Roman"/>
                <w:iCs/>
                <w:sz w:val="24"/>
                <w:szCs w:val="24"/>
                <w:lang w:eastAsia="en-GB" w:bidi="en-GB"/>
              </w:rPr>
              <w:t xml:space="preserve"> June.</w:t>
            </w:r>
          </w:p>
        </w:tc>
        <w:tc>
          <w:tcPr>
            <w:tcW w:w="1417"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1</w:t>
            </w:r>
            <w:r w:rsidR="00475E4D" w:rsidRPr="000640FD">
              <w:rPr>
                <w:rFonts w:cs="Times New Roman"/>
                <w:iCs/>
                <w:sz w:val="24"/>
                <w:szCs w:val="24"/>
                <w:lang w:eastAsia="en-GB" w:bidi="en-GB"/>
              </w:rPr>
              <w:t>0</w:t>
            </w:r>
            <w:r w:rsidRPr="000640FD">
              <w:rPr>
                <w:rFonts w:cs="Times New Roman"/>
                <w:iCs/>
                <w:sz w:val="24"/>
                <w:szCs w:val="24"/>
                <w:lang w:eastAsia="en-GB" w:bidi="en-GB"/>
              </w:rPr>
              <w:t xml:space="preserve"> Days.</w:t>
            </w:r>
          </w:p>
        </w:tc>
        <w:tc>
          <w:tcPr>
            <w:tcW w:w="340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Marking and feedback on chapter 3.</w:t>
            </w:r>
          </w:p>
        </w:tc>
        <w:tc>
          <w:tcPr>
            <w:tcW w:w="294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Learn from your mistakes.</w:t>
            </w:r>
          </w:p>
        </w:tc>
      </w:tr>
      <w:tr w:rsidR="00164910" w:rsidRPr="000640FD" w:rsidTr="00BB3699">
        <w:tc>
          <w:tcPr>
            <w:tcW w:w="2093"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2</w:t>
            </w:r>
            <w:r w:rsidR="00475E4D" w:rsidRPr="000640FD">
              <w:rPr>
                <w:rFonts w:cs="Times New Roman"/>
                <w:iCs/>
                <w:sz w:val="24"/>
                <w:szCs w:val="24"/>
                <w:lang w:eastAsia="en-GB" w:bidi="en-GB"/>
              </w:rPr>
              <w:t>8</w:t>
            </w:r>
            <w:r w:rsidRPr="000640FD">
              <w:rPr>
                <w:rFonts w:cs="Times New Roman"/>
                <w:iCs/>
                <w:sz w:val="24"/>
                <w:szCs w:val="24"/>
                <w:lang w:eastAsia="en-GB" w:bidi="en-GB"/>
              </w:rPr>
              <w:t xml:space="preserve"> </w:t>
            </w:r>
            <w:r w:rsidR="00475E4D" w:rsidRPr="000640FD">
              <w:rPr>
                <w:rFonts w:cs="Times New Roman"/>
                <w:iCs/>
                <w:sz w:val="24"/>
                <w:szCs w:val="24"/>
                <w:lang w:eastAsia="en-GB" w:bidi="en-GB"/>
              </w:rPr>
              <w:t xml:space="preserve">June </w:t>
            </w:r>
            <w:r w:rsidRPr="000640FD">
              <w:rPr>
                <w:rFonts w:cs="Times New Roman"/>
                <w:iCs/>
                <w:sz w:val="24"/>
                <w:szCs w:val="24"/>
                <w:lang w:eastAsia="en-GB" w:bidi="en-GB"/>
              </w:rPr>
              <w:t xml:space="preserve">– </w:t>
            </w:r>
            <w:r w:rsidR="00475E4D" w:rsidRPr="000640FD">
              <w:rPr>
                <w:rFonts w:cs="Times New Roman"/>
                <w:iCs/>
                <w:sz w:val="24"/>
                <w:szCs w:val="24"/>
                <w:lang w:eastAsia="en-GB" w:bidi="en-GB"/>
              </w:rPr>
              <w:t>5</w:t>
            </w:r>
            <w:r w:rsidRPr="000640FD">
              <w:rPr>
                <w:rFonts w:cs="Times New Roman"/>
                <w:iCs/>
                <w:sz w:val="24"/>
                <w:szCs w:val="24"/>
                <w:lang w:eastAsia="en-GB" w:bidi="en-GB"/>
              </w:rPr>
              <w:t xml:space="preserve"> July.</w:t>
            </w:r>
          </w:p>
        </w:tc>
        <w:tc>
          <w:tcPr>
            <w:tcW w:w="1417" w:type="dxa"/>
          </w:tcPr>
          <w:p w:rsidR="00164910" w:rsidRPr="000640FD" w:rsidRDefault="00475E4D"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7</w:t>
            </w:r>
            <w:r w:rsidR="00164910" w:rsidRPr="000640FD">
              <w:rPr>
                <w:rFonts w:cs="Times New Roman"/>
                <w:iCs/>
                <w:sz w:val="24"/>
                <w:szCs w:val="24"/>
                <w:lang w:eastAsia="en-GB" w:bidi="en-GB"/>
              </w:rPr>
              <w:t xml:space="preserve"> Days.</w:t>
            </w:r>
          </w:p>
        </w:tc>
        <w:tc>
          <w:tcPr>
            <w:tcW w:w="340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Rewrite and hand in chapter 3.</w:t>
            </w:r>
          </w:p>
        </w:tc>
        <w:tc>
          <w:tcPr>
            <w:tcW w:w="294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Fix the inadequacies in your first draft.</w:t>
            </w:r>
          </w:p>
        </w:tc>
      </w:tr>
      <w:tr w:rsidR="00164910" w:rsidRPr="000640FD" w:rsidTr="00BB3699">
        <w:tc>
          <w:tcPr>
            <w:tcW w:w="2093" w:type="dxa"/>
          </w:tcPr>
          <w:p w:rsidR="00164910" w:rsidRPr="000640FD" w:rsidRDefault="00475E4D"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 xml:space="preserve">5 July – </w:t>
            </w:r>
            <w:r w:rsidR="003B0C97" w:rsidRPr="000640FD">
              <w:rPr>
                <w:rFonts w:cs="Times New Roman"/>
                <w:iCs/>
                <w:sz w:val="24"/>
                <w:szCs w:val="24"/>
                <w:lang w:eastAsia="en-GB" w:bidi="en-GB"/>
              </w:rPr>
              <w:t>15</w:t>
            </w:r>
            <w:r w:rsidR="00164910" w:rsidRPr="000640FD">
              <w:rPr>
                <w:rFonts w:cs="Times New Roman"/>
                <w:iCs/>
                <w:sz w:val="24"/>
                <w:szCs w:val="24"/>
                <w:lang w:eastAsia="en-GB" w:bidi="en-GB"/>
              </w:rPr>
              <w:t xml:space="preserve"> August.</w:t>
            </w:r>
          </w:p>
        </w:tc>
        <w:tc>
          <w:tcPr>
            <w:tcW w:w="1417" w:type="dxa"/>
          </w:tcPr>
          <w:p w:rsidR="00164910" w:rsidRPr="000640FD" w:rsidRDefault="003B0C97"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6</w:t>
            </w:r>
            <w:r w:rsidR="00164910" w:rsidRPr="000640FD">
              <w:rPr>
                <w:rFonts w:cs="Times New Roman"/>
                <w:iCs/>
                <w:sz w:val="24"/>
                <w:szCs w:val="24"/>
                <w:lang w:eastAsia="en-GB" w:bidi="en-GB"/>
              </w:rPr>
              <w:t xml:space="preserve"> Weeks.</w:t>
            </w:r>
          </w:p>
        </w:tc>
        <w:tc>
          <w:tcPr>
            <w:tcW w:w="340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 xml:space="preserve">Research, write and hand in </w:t>
            </w:r>
          </w:p>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chapter 4.</w:t>
            </w:r>
          </w:p>
        </w:tc>
        <w:tc>
          <w:tcPr>
            <w:tcW w:w="294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Hand in the 1</w:t>
            </w:r>
            <w:r w:rsidRPr="000640FD">
              <w:rPr>
                <w:rFonts w:cs="Times New Roman"/>
                <w:iCs/>
                <w:sz w:val="24"/>
                <w:szCs w:val="24"/>
                <w:vertAlign w:val="superscript"/>
                <w:lang w:eastAsia="en-GB" w:bidi="en-GB"/>
              </w:rPr>
              <w:t>st</w:t>
            </w:r>
            <w:r w:rsidRPr="000640FD">
              <w:rPr>
                <w:rFonts w:cs="Times New Roman"/>
                <w:iCs/>
                <w:sz w:val="24"/>
                <w:szCs w:val="24"/>
                <w:lang w:eastAsia="en-GB" w:bidi="en-GB"/>
              </w:rPr>
              <w:t xml:space="preserve"> draft of chapter 4.</w:t>
            </w:r>
          </w:p>
        </w:tc>
      </w:tr>
      <w:tr w:rsidR="00164910" w:rsidRPr="000640FD" w:rsidTr="00BB3699">
        <w:tc>
          <w:tcPr>
            <w:tcW w:w="2093" w:type="dxa"/>
          </w:tcPr>
          <w:p w:rsidR="00164910" w:rsidRPr="000640FD" w:rsidRDefault="003B0C97"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15</w:t>
            </w:r>
            <w:r w:rsidR="00164910" w:rsidRPr="000640FD">
              <w:rPr>
                <w:rFonts w:cs="Times New Roman"/>
                <w:iCs/>
                <w:sz w:val="24"/>
                <w:szCs w:val="24"/>
                <w:lang w:eastAsia="en-GB" w:bidi="en-GB"/>
              </w:rPr>
              <w:t xml:space="preserve"> – </w:t>
            </w:r>
            <w:r w:rsidRPr="000640FD">
              <w:rPr>
                <w:rFonts w:cs="Times New Roman"/>
                <w:iCs/>
                <w:sz w:val="24"/>
                <w:szCs w:val="24"/>
                <w:lang w:eastAsia="en-GB" w:bidi="en-GB"/>
              </w:rPr>
              <w:t>25</w:t>
            </w:r>
            <w:r w:rsidR="00164910" w:rsidRPr="000640FD">
              <w:rPr>
                <w:rFonts w:cs="Times New Roman"/>
                <w:iCs/>
                <w:sz w:val="24"/>
                <w:szCs w:val="24"/>
                <w:lang w:eastAsia="en-GB" w:bidi="en-GB"/>
              </w:rPr>
              <w:t xml:space="preserve"> August.</w:t>
            </w:r>
          </w:p>
        </w:tc>
        <w:tc>
          <w:tcPr>
            <w:tcW w:w="1417"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10 Days.</w:t>
            </w:r>
          </w:p>
        </w:tc>
        <w:tc>
          <w:tcPr>
            <w:tcW w:w="340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Marking and feedback on chapter 4.</w:t>
            </w:r>
          </w:p>
        </w:tc>
        <w:tc>
          <w:tcPr>
            <w:tcW w:w="294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Learn from your mistakes.</w:t>
            </w:r>
          </w:p>
        </w:tc>
      </w:tr>
      <w:tr w:rsidR="00164910" w:rsidRPr="000640FD" w:rsidTr="00BB3699">
        <w:tc>
          <w:tcPr>
            <w:tcW w:w="2093" w:type="dxa"/>
          </w:tcPr>
          <w:p w:rsidR="00164910" w:rsidRPr="000640FD" w:rsidRDefault="003B0C97"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25</w:t>
            </w:r>
            <w:r w:rsidR="00164910" w:rsidRPr="000640FD">
              <w:rPr>
                <w:rFonts w:cs="Times New Roman"/>
                <w:iCs/>
                <w:sz w:val="24"/>
                <w:szCs w:val="24"/>
                <w:lang w:eastAsia="en-GB" w:bidi="en-GB"/>
              </w:rPr>
              <w:t xml:space="preserve"> </w:t>
            </w:r>
            <w:r w:rsidRPr="000640FD">
              <w:rPr>
                <w:rFonts w:cs="Times New Roman"/>
                <w:iCs/>
                <w:sz w:val="24"/>
                <w:szCs w:val="24"/>
                <w:lang w:eastAsia="en-GB" w:bidi="en-GB"/>
              </w:rPr>
              <w:t xml:space="preserve">Aug. </w:t>
            </w:r>
            <w:r w:rsidR="00164910" w:rsidRPr="000640FD">
              <w:rPr>
                <w:rFonts w:cs="Times New Roman"/>
                <w:iCs/>
                <w:sz w:val="24"/>
                <w:szCs w:val="24"/>
                <w:lang w:eastAsia="en-GB" w:bidi="en-GB"/>
              </w:rPr>
              <w:t xml:space="preserve">– </w:t>
            </w:r>
            <w:r w:rsidRPr="000640FD">
              <w:rPr>
                <w:rFonts w:cs="Times New Roman"/>
                <w:iCs/>
                <w:sz w:val="24"/>
                <w:szCs w:val="24"/>
                <w:lang w:eastAsia="en-GB" w:bidi="en-GB"/>
              </w:rPr>
              <w:t>1</w:t>
            </w:r>
            <w:r w:rsidR="00164910" w:rsidRPr="000640FD">
              <w:rPr>
                <w:rFonts w:cs="Times New Roman"/>
                <w:iCs/>
                <w:sz w:val="24"/>
                <w:szCs w:val="24"/>
                <w:lang w:eastAsia="en-GB" w:bidi="en-GB"/>
              </w:rPr>
              <w:t xml:space="preserve"> </w:t>
            </w:r>
            <w:r w:rsidRPr="000640FD">
              <w:rPr>
                <w:rFonts w:cs="Times New Roman"/>
                <w:iCs/>
                <w:sz w:val="24"/>
                <w:szCs w:val="24"/>
                <w:lang w:eastAsia="en-GB" w:bidi="en-GB"/>
              </w:rPr>
              <w:t>Sept</w:t>
            </w:r>
            <w:r w:rsidR="00164910" w:rsidRPr="000640FD">
              <w:rPr>
                <w:rFonts w:cs="Times New Roman"/>
                <w:iCs/>
                <w:sz w:val="24"/>
                <w:szCs w:val="24"/>
                <w:lang w:eastAsia="en-GB" w:bidi="en-GB"/>
              </w:rPr>
              <w:t xml:space="preserve">. </w:t>
            </w:r>
          </w:p>
        </w:tc>
        <w:tc>
          <w:tcPr>
            <w:tcW w:w="1417"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7 Days.</w:t>
            </w:r>
          </w:p>
        </w:tc>
        <w:tc>
          <w:tcPr>
            <w:tcW w:w="340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Rewrite and hand in chapter 4.</w:t>
            </w:r>
          </w:p>
        </w:tc>
        <w:tc>
          <w:tcPr>
            <w:tcW w:w="294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Fix the inadequacies in your first draft.</w:t>
            </w:r>
          </w:p>
        </w:tc>
      </w:tr>
      <w:tr w:rsidR="00164910" w:rsidRPr="000640FD" w:rsidTr="00BB3699">
        <w:tc>
          <w:tcPr>
            <w:tcW w:w="2093" w:type="dxa"/>
          </w:tcPr>
          <w:p w:rsidR="00164910" w:rsidRPr="000640FD" w:rsidRDefault="003B0C97"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1 Sept. –</w:t>
            </w:r>
            <w:r w:rsidR="00164910" w:rsidRPr="000640FD">
              <w:rPr>
                <w:rFonts w:cs="Times New Roman"/>
                <w:iCs/>
                <w:sz w:val="24"/>
                <w:szCs w:val="24"/>
                <w:lang w:eastAsia="en-GB" w:bidi="en-GB"/>
              </w:rPr>
              <w:t xml:space="preserve"> </w:t>
            </w:r>
            <w:r w:rsidRPr="000640FD">
              <w:rPr>
                <w:rFonts w:cs="Times New Roman"/>
                <w:iCs/>
                <w:sz w:val="24"/>
                <w:szCs w:val="24"/>
                <w:lang w:eastAsia="en-GB" w:bidi="en-GB"/>
              </w:rPr>
              <w:t xml:space="preserve">30 </w:t>
            </w:r>
            <w:r w:rsidR="00164910" w:rsidRPr="000640FD">
              <w:rPr>
                <w:rFonts w:cs="Times New Roman"/>
                <w:iCs/>
                <w:sz w:val="24"/>
                <w:szCs w:val="24"/>
                <w:lang w:eastAsia="en-GB" w:bidi="en-GB"/>
              </w:rPr>
              <w:t>Sept.</w:t>
            </w:r>
          </w:p>
        </w:tc>
        <w:tc>
          <w:tcPr>
            <w:tcW w:w="1417" w:type="dxa"/>
          </w:tcPr>
          <w:p w:rsidR="00164910" w:rsidRPr="000640FD" w:rsidRDefault="003B0C97"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4</w:t>
            </w:r>
            <w:r w:rsidR="00164910" w:rsidRPr="000640FD">
              <w:rPr>
                <w:rFonts w:cs="Times New Roman"/>
                <w:iCs/>
                <w:sz w:val="24"/>
                <w:szCs w:val="24"/>
                <w:lang w:eastAsia="en-GB" w:bidi="en-GB"/>
              </w:rPr>
              <w:t xml:space="preserve"> Weeks.</w:t>
            </w:r>
          </w:p>
        </w:tc>
        <w:tc>
          <w:tcPr>
            <w:tcW w:w="340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 xml:space="preserve">Research, write and hand in </w:t>
            </w:r>
          </w:p>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chapter 5.</w:t>
            </w:r>
          </w:p>
        </w:tc>
        <w:tc>
          <w:tcPr>
            <w:tcW w:w="294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Hand in the 1</w:t>
            </w:r>
            <w:r w:rsidRPr="000640FD">
              <w:rPr>
                <w:rFonts w:cs="Times New Roman"/>
                <w:iCs/>
                <w:sz w:val="24"/>
                <w:szCs w:val="24"/>
                <w:vertAlign w:val="superscript"/>
                <w:lang w:eastAsia="en-GB" w:bidi="en-GB"/>
              </w:rPr>
              <w:t>st</w:t>
            </w:r>
            <w:r w:rsidRPr="000640FD">
              <w:rPr>
                <w:rFonts w:cs="Times New Roman"/>
                <w:iCs/>
                <w:sz w:val="24"/>
                <w:szCs w:val="24"/>
                <w:lang w:eastAsia="en-GB" w:bidi="en-GB"/>
              </w:rPr>
              <w:t xml:space="preserve"> draft of chapter 5.</w:t>
            </w:r>
          </w:p>
        </w:tc>
      </w:tr>
      <w:tr w:rsidR="00164910" w:rsidRPr="000640FD" w:rsidTr="00BB3699">
        <w:tc>
          <w:tcPr>
            <w:tcW w:w="2093" w:type="dxa"/>
          </w:tcPr>
          <w:p w:rsidR="00164910" w:rsidRPr="000640FD" w:rsidRDefault="003B0C97"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30 Sept</w:t>
            </w:r>
            <w:r w:rsidR="00164910" w:rsidRPr="000640FD">
              <w:rPr>
                <w:rFonts w:cs="Times New Roman"/>
                <w:iCs/>
                <w:sz w:val="24"/>
                <w:szCs w:val="24"/>
                <w:lang w:eastAsia="en-GB" w:bidi="en-GB"/>
              </w:rPr>
              <w:t xml:space="preserve"> – </w:t>
            </w:r>
            <w:r w:rsidRPr="000640FD">
              <w:rPr>
                <w:rFonts w:cs="Times New Roman"/>
                <w:iCs/>
                <w:sz w:val="24"/>
                <w:szCs w:val="24"/>
                <w:lang w:eastAsia="en-GB" w:bidi="en-GB"/>
              </w:rPr>
              <w:t>10</w:t>
            </w:r>
            <w:r w:rsidR="00164910" w:rsidRPr="000640FD">
              <w:rPr>
                <w:rFonts w:cs="Times New Roman"/>
                <w:iCs/>
                <w:sz w:val="24"/>
                <w:szCs w:val="24"/>
                <w:lang w:eastAsia="en-GB" w:bidi="en-GB"/>
              </w:rPr>
              <w:t xml:space="preserve"> Oct.</w:t>
            </w:r>
          </w:p>
        </w:tc>
        <w:tc>
          <w:tcPr>
            <w:tcW w:w="1417"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10 Days.</w:t>
            </w:r>
          </w:p>
        </w:tc>
        <w:tc>
          <w:tcPr>
            <w:tcW w:w="340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Marking and feedback on chapter 5.</w:t>
            </w:r>
          </w:p>
        </w:tc>
        <w:tc>
          <w:tcPr>
            <w:tcW w:w="294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Learn from your mistakes.</w:t>
            </w:r>
          </w:p>
        </w:tc>
      </w:tr>
      <w:tr w:rsidR="00164910" w:rsidRPr="000640FD" w:rsidTr="00BB3699">
        <w:tc>
          <w:tcPr>
            <w:tcW w:w="2093" w:type="dxa"/>
          </w:tcPr>
          <w:p w:rsidR="00164910" w:rsidRPr="000640FD" w:rsidRDefault="003B0C97"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10</w:t>
            </w:r>
            <w:r w:rsidR="00164910" w:rsidRPr="000640FD">
              <w:rPr>
                <w:rFonts w:cs="Times New Roman"/>
                <w:iCs/>
                <w:sz w:val="24"/>
                <w:szCs w:val="24"/>
                <w:lang w:eastAsia="en-GB" w:bidi="en-GB"/>
              </w:rPr>
              <w:t xml:space="preserve"> – 1</w:t>
            </w:r>
            <w:r w:rsidRPr="000640FD">
              <w:rPr>
                <w:rFonts w:cs="Times New Roman"/>
                <w:iCs/>
                <w:sz w:val="24"/>
                <w:szCs w:val="24"/>
                <w:lang w:eastAsia="en-GB" w:bidi="en-GB"/>
              </w:rPr>
              <w:t>7</w:t>
            </w:r>
            <w:r w:rsidR="00164910" w:rsidRPr="000640FD">
              <w:rPr>
                <w:rFonts w:cs="Times New Roman"/>
                <w:iCs/>
                <w:sz w:val="24"/>
                <w:szCs w:val="24"/>
                <w:lang w:eastAsia="en-GB" w:bidi="en-GB"/>
              </w:rPr>
              <w:t xml:space="preserve"> October.</w:t>
            </w:r>
          </w:p>
        </w:tc>
        <w:tc>
          <w:tcPr>
            <w:tcW w:w="1417" w:type="dxa"/>
          </w:tcPr>
          <w:p w:rsidR="00164910" w:rsidRPr="000640FD" w:rsidRDefault="003B0C97"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7</w:t>
            </w:r>
            <w:r w:rsidR="00164910" w:rsidRPr="000640FD">
              <w:rPr>
                <w:rFonts w:cs="Times New Roman"/>
                <w:iCs/>
                <w:sz w:val="24"/>
                <w:szCs w:val="24"/>
                <w:lang w:eastAsia="en-GB" w:bidi="en-GB"/>
              </w:rPr>
              <w:t xml:space="preserve"> Days.</w:t>
            </w:r>
          </w:p>
        </w:tc>
        <w:tc>
          <w:tcPr>
            <w:tcW w:w="340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Rewrite and hand in chapter 5.</w:t>
            </w:r>
          </w:p>
        </w:tc>
        <w:tc>
          <w:tcPr>
            <w:tcW w:w="2942" w:type="dxa"/>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Fix the inadequacies in your first draft.</w:t>
            </w:r>
          </w:p>
        </w:tc>
      </w:tr>
      <w:tr w:rsidR="00164910" w:rsidRPr="000640FD" w:rsidTr="00BB3699">
        <w:tc>
          <w:tcPr>
            <w:tcW w:w="2093" w:type="dxa"/>
            <w:tcBorders>
              <w:bottom w:val="single" w:sz="4" w:space="0" w:color="000000" w:themeColor="text1"/>
            </w:tcBorders>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1</w:t>
            </w:r>
            <w:r w:rsidR="003B0C97" w:rsidRPr="000640FD">
              <w:rPr>
                <w:rFonts w:cs="Times New Roman"/>
                <w:iCs/>
                <w:sz w:val="24"/>
                <w:szCs w:val="24"/>
                <w:lang w:eastAsia="en-GB" w:bidi="en-GB"/>
              </w:rPr>
              <w:t>7</w:t>
            </w:r>
            <w:r w:rsidRPr="000640FD">
              <w:rPr>
                <w:rFonts w:cs="Times New Roman"/>
                <w:iCs/>
                <w:sz w:val="24"/>
                <w:szCs w:val="24"/>
                <w:lang w:eastAsia="en-GB" w:bidi="en-GB"/>
              </w:rPr>
              <w:t xml:space="preserve"> Oct. – 29 Nov.</w:t>
            </w:r>
          </w:p>
        </w:tc>
        <w:tc>
          <w:tcPr>
            <w:tcW w:w="1417" w:type="dxa"/>
            <w:tcBorders>
              <w:bottom w:val="single" w:sz="4" w:space="0" w:color="000000" w:themeColor="text1"/>
            </w:tcBorders>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6 Weeks.</w:t>
            </w:r>
          </w:p>
        </w:tc>
        <w:tc>
          <w:tcPr>
            <w:tcW w:w="3402" w:type="dxa"/>
            <w:tcBorders>
              <w:bottom w:val="single" w:sz="4" w:space="0" w:color="000000" w:themeColor="text1"/>
            </w:tcBorders>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Write the conclusion and put the final touches on your thesis.</w:t>
            </w:r>
          </w:p>
        </w:tc>
        <w:tc>
          <w:tcPr>
            <w:tcW w:w="2942" w:type="dxa"/>
            <w:tcBorders>
              <w:bottom w:val="single" w:sz="4" w:space="0" w:color="000000" w:themeColor="text1"/>
            </w:tcBorders>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 xml:space="preserve">Ensure that your conclusion bind the whole thesis together. </w:t>
            </w:r>
          </w:p>
        </w:tc>
      </w:tr>
      <w:tr w:rsidR="00164910" w:rsidRPr="000640FD" w:rsidTr="00BB3699">
        <w:tc>
          <w:tcPr>
            <w:tcW w:w="2093" w:type="dxa"/>
            <w:tcBorders>
              <w:bottom w:val="single" w:sz="4" w:space="0" w:color="auto"/>
            </w:tcBorders>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30 November.</w:t>
            </w:r>
          </w:p>
        </w:tc>
        <w:tc>
          <w:tcPr>
            <w:tcW w:w="1417" w:type="dxa"/>
            <w:tcBorders>
              <w:bottom w:val="single" w:sz="4" w:space="0" w:color="auto"/>
            </w:tcBorders>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1 Day.</w:t>
            </w:r>
          </w:p>
        </w:tc>
        <w:tc>
          <w:tcPr>
            <w:tcW w:w="3402" w:type="dxa"/>
            <w:tcBorders>
              <w:bottom w:val="single" w:sz="4" w:space="0" w:color="auto"/>
            </w:tcBorders>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Hand in the complete thesis.</w:t>
            </w:r>
          </w:p>
        </w:tc>
        <w:tc>
          <w:tcPr>
            <w:tcW w:w="2942" w:type="dxa"/>
            <w:tcBorders>
              <w:bottom w:val="single" w:sz="4" w:space="0" w:color="auto"/>
            </w:tcBorders>
          </w:tcPr>
          <w:p w:rsidR="00164910" w:rsidRPr="000640FD" w:rsidRDefault="00164910" w:rsidP="000640FD">
            <w:pPr>
              <w:spacing w:line="360" w:lineRule="auto"/>
              <w:contextualSpacing/>
              <w:rPr>
                <w:rFonts w:cs="Times New Roman"/>
                <w:iCs/>
                <w:sz w:val="24"/>
                <w:szCs w:val="24"/>
                <w:lang w:eastAsia="en-GB" w:bidi="en-GB"/>
              </w:rPr>
            </w:pPr>
            <w:r w:rsidRPr="000640FD">
              <w:rPr>
                <w:rFonts w:cs="Times New Roman"/>
                <w:iCs/>
                <w:sz w:val="24"/>
                <w:szCs w:val="24"/>
                <w:lang w:eastAsia="en-GB" w:bidi="en-GB"/>
              </w:rPr>
              <w:t>Obtain your degree.</w:t>
            </w:r>
          </w:p>
        </w:tc>
      </w:tr>
    </w:tbl>
    <w:p w:rsidR="00FD6947" w:rsidRDefault="00FD6947" w:rsidP="000640FD">
      <w:pPr>
        <w:contextualSpacing/>
        <w:rPr>
          <w:rFonts w:cs="Times New Roman"/>
        </w:rPr>
      </w:pPr>
    </w:p>
    <w:p w:rsidR="008632C7" w:rsidRPr="000640FD" w:rsidRDefault="002E7196" w:rsidP="009B5ABF">
      <w:pPr>
        <w:contextualSpacing/>
        <w:jc w:val="center"/>
        <w:rPr>
          <w:rFonts w:cs="Times New Roman"/>
        </w:rPr>
      </w:pPr>
      <w:r w:rsidRPr="000640FD">
        <w:rPr>
          <w:rFonts w:cs="Times New Roman"/>
          <w:b/>
          <w:bCs/>
        </w:rPr>
        <w:lastRenderedPageBreak/>
        <w:t>8. Principal references</w:t>
      </w:r>
    </w:p>
    <w:p w:rsidR="00F5524E" w:rsidRPr="001B5194" w:rsidRDefault="00F5524E" w:rsidP="001B5194">
      <w:pPr>
        <w:contextualSpacing/>
        <w:jc w:val="both"/>
        <w:rPr>
          <w:rFonts w:cs="Times New Roman"/>
          <w:i/>
        </w:rPr>
      </w:pPr>
    </w:p>
    <w:p w:rsidR="00F5524E" w:rsidRPr="001B5194" w:rsidRDefault="00F5524E" w:rsidP="001B5194">
      <w:pPr>
        <w:contextualSpacing/>
        <w:jc w:val="both"/>
        <w:rPr>
          <w:rFonts w:cs="Times New Roman"/>
        </w:rPr>
      </w:pPr>
      <w:r w:rsidRPr="001B5194">
        <w:rPr>
          <w:rFonts w:cs="Times New Roman"/>
          <w:i/>
        </w:rPr>
        <w:t>American Soda Ash Corporation/ Competition Commission of South Africa case no 12/CAC/Dec01</w:t>
      </w:r>
    </w:p>
    <w:p w:rsidR="00F5524E" w:rsidRPr="001B5194" w:rsidRDefault="00F5524E" w:rsidP="001B5194">
      <w:pPr>
        <w:contextualSpacing/>
        <w:rPr>
          <w:rFonts w:cs="Times New Roman"/>
        </w:rPr>
      </w:pPr>
    </w:p>
    <w:p w:rsidR="00F5524E" w:rsidRPr="001B5194" w:rsidRDefault="00F5524E" w:rsidP="001B5194">
      <w:pPr>
        <w:contextualSpacing/>
        <w:rPr>
          <w:rFonts w:cs="Times New Roman"/>
        </w:rPr>
      </w:pPr>
      <w:r w:rsidRPr="001B5194">
        <w:rPr>
          <w:rFonts w:cs="Times New Roman"/>
        </w:rPr>
        <w:t>Blignaut L and du Plessis L and Lurie J</w:t>
      </w:r>
    </w:p>
    <w:p w:rsidR="00F5524E" w:rsidRPr="001B5194" w:rsidRDefault="00F5524E" w:rsidP="001B5194">
      <w:pPr>
        <w:contextualSpacing/>
        <w:rPr>
          <w:rFonts w:cs="Times New Roman"/>
        </w:rPr>
      </w:pPr>
      <w:r w:rsidRPr="001B5194">
        <w:rPr>
          <w:rFonts w:cs="Times New Roman"/>
        </w:rPr>
        <w:t xml:space="preserve">2009. </w:t>
      </w:r>
      <w:r w:rsidRPr="001B5194">
        <w:rPr>
          <w:rFonts w:cs="Times New Roman"/>
          <w:i/>
        </w:rPr>
        <w:t>Vertical Integration and the Refusal to Supply Scarce Goods – A Legal and Economic Framework for Analysis of Prohibited Practices</w:t>
      </w:r>
      <w:r w:rsidRPr="001B5194">
        <w:rPr>
          <w:rFonts w:cs="Times New Roman"/>
        </w:rPr>
        <w:t xml:space="preserve">. http://www.compcom.co.za/assets/Uploads/events/Fourth-Competition-Law-Conferece/Session-3A/Vertical-integration-and-refusal-to-supply-scarce-goods-LB-LdP-JL-final.pdf </w:t>
      </w:r>
    </w:p>
    <w:p w:rsidR="00F5524E" w:rsidRPr="001B5194" w:rsidRDefault="00F5524E" w:rsidP="001B5194">
      <w:pPr>
        <w:contextualSpacing/>
        <w:rPr>
          <w:rFonts w:cs="Times New Roman"/>
        </w:rPr>
      </w:pPr>
      <w:r w:rsidRPr="001B5194">
        <w:rPr>
          <w:rFonts w:cs="Times New Roman"/>
        </w:rPr>
        <w:t>(accessed on 4 March 2001)</w:t>
      </w:r>
    </w:p>
    <w:p w:rsidR="00F5524E" w:rsidRPr="001B5194" w:rsidRDefault="00F5524E" w:rsidP="001B5194">
      <w:pPr>
        <w:contextualSpacing/>
        <w:rPr>
          <w:rFonts w:cs="Times New Roman"/>
        </w:rPr>
      </w:pPr>
    </w:p>
    <w:p w:rsidR="00F5524E" w:rsidRPr="001B5194" w:rsidRDefault="00F5524E" w:rsidP="001B5194">
      <w:pPr>
        <w:contextualSpacing/>
        <w:rPr>
          <w:rFonts w:cs="Times New Roman"/>
        </w:rPr>
      </w:pPr>
      <w:r w:rsidRPr="001B5194">
        <w:rPr>
          <w:rFonts w:cs="Times New Roman"/>
        </w:rPr>
        <w:t>Broder DF</w:t>
      </w:r>
    </w:p>
    <w:p w:rsidR="00F5524E" w:rsidRPr="001B5194" w:rsidRDefault="00F5524E" w:rsidP="001B5194">
      <w:pPr>
        <w:contextualSpacing/>
        <w:rPr>
          <w:rFonts w:cs="Times New Roman"/>
        </w:rPr>
      </w:pPr>
      <w:r w:rsidRPr="001B5194">
        <w:rPr>
          <w:rFonts w:cs="Times New Roman"/>
        </w:rPr>
        <w:t xml:space="preserve">2005. </w:t>
      </w:r>
      <w:r w:rsidRPr="001B5194">
        <w:rPr>
          <w:rFonts w:cs="Times New Roman"/>
          <w:i/>
        </w:rPr>
        <w:t>A Guide to US Antitrust Law</w:t>
      </w:r>
      <w:r w:rsidRPr="001B5194">
        <w:rPr>
          <w:rFonts w:cs="Times New Roman"/>
        </w:rPr>
        <w:t>. 1</w:t>
      </w:r>
      <w:r w:rsidRPr="001B5194">
        <w:rPr>
          <w:rFonts w:cs="Times New Roman"/>
          <w:vertAlign w:val="superscript"/>
        </w:rPr>
        <w:t>st</w:t>
      </w:r>
      <w:r w:rsidRPr="001B5194">
        <w:rPr>
          <w:rFonts w:cs="Times New Roman"/>
        </w:rPr>
        <w:t xml:space="preserve"> ed. London: Thomson.</w:t>
      </w:r>
    </w:p>
    <w:p w:rsidR="00F5524E" w:rsidRPr="001B5194" w:rsidRDefault="00F5524E" w:rsidP="001B5194">
      <w:pPr>
        <w:contextualSpacing/>
        <w:rPr>
          <w:rFonts w:cs="Times New Roman"/>
        </w:rPr>
      </w:pPr>
    </w:p>
    <w:p w:rsidR="00F5524E" w:rsidRPr="001B5194" w:rsidRDefault="00F5524E" w:rsidP="001B5194">
      <w:pPr>
        <w:contextualSpacing/>
        <w:rPr>
          <w:rFonts w:cs="Times New Roman"/>
        </w:rPr>
      </w:pPr>
      <w:r w:rsidRPr="001B5194">
        <w:rPr>
          <w:rFonts w:cs="Times New Roman"/>
          <w:i/>
        </w:rPr>
        <w:t>Cancun Trading No 24/Seven-Eleven Corporation SA (Pty) Ltd case no 18/IR/Dec99</w:t>
      </w:r>
    </w:p>
    <w:p w:rsidR="00F5524E" w:rsidRPr="001B5194" w:rsidRDefault="00F5524E" w:rsidP="001B5194">
      <w:pPr>
        <w:contextualSpacing/>
        <w:rPr>
          <w:rFonts w:cs="Times New Roman"/>
        </w:rPr>
      </w:pPr>
    </w:p>
    <w:p w:rsidR="00F5524E" w:rsidRPr="001B5194" w:rsidRDefault="00F5524E" w:rsidP="001B5194">
      <w:pPr>
        <w:contextualSpacing/>
        <w:rPr>
          <w:rFonts w:cs="Times New Roman"/>
        </w:rPr>
      </w:pPr>
      <w:r w:rsidRPr="001B5194">
        <w:rPr>
          <w:rFonts w:cs="Times New Roman"/>
        </w:rPr>
        <w:t>Cseres KJ</w:t>
      </w:r>
    </w:p>
    <w:p w:rsidR="00F5524E" w:rsidRPr="001B5194" w:rsidRDefault="00F5524E" w:rsidP="001B5194">
      <w:pPr>
        <w:contextualSpacing/>
        <w:rPr>
          <w:rFonts w:cs="Times New Roman"/>
        </w:rPr>
      </w:pPr>
      <w:r w:rsidRPr="001B5194">
        <w:rPr>
          <w:rFonts w:cs="Times New Roman"/>
        </w:rPr>
        <w:t xml:space="preserve">2005. </w:t>
      </w:r>
      <w:r w:rsidRPr="001B5194">
        <w:rPr>
          <w:rFonts w:cs="Times New Roman"/>
          <w:i/>
        </w:rPr>
        <w:t>Competition Law and Consumer Protection</w:t>
      </w:r>
      <w:r w:rsidRPr="001B5194">
        <w:rPr>
          <w:rFonts w:cs="Times New Roman"/>
        </w:rPr>
        <w:t>. The Hague: Kluwer Law.</w:t>
      </w:r>
    </w:p>
    <w:p w:rsidR="00F5524E" w:rsidRPr="001B5194" w:rsidRDefault="00F5524E" w:rsidP="001B5194">
      <w:pPr>
        <w:contextualSpacing/>
        <w:jc w:val="both"/>
        <w:rPr>
          <w:rFonts w:cs="Times New Roman"/>
        </w:rPr>
      </w:pPr>
    </w:p>
    <w:p w:rsidR="00F5524E" w:rsidRPr="001B5194" w:rsidRDefault="00F5524E" w:rsidP="001B5194">
      <w:pPr>
        <w:contextualSpacing/>
        <w:rPr>
          <w:rFonts w:cs="Times New Roman"/>
        </w:rPr>
      </w:pPr>
      <w:r w:rsidRPr="001B5194">
        <w:rPr>
          <w:rFonts w:cs="Times New Roman"/>
        </w:rPr>
        <w:t>Deneys Reitz Attorneys Inc.</w:t>
      </w:r>
    </w:p>
    <w:p w:rsidR="00F5524E" w:rsidRPr="001B5194" w:rsidRDefault="00F5524E" w:rsidP="001B5194">
      <w:pPr>
        <w:contextualSpacing/>
        <w:rPr>
          <w:rFonts w:cs="Times New Roman"/>
        </w:rPr>
      </w:pPr>
      <w:r w:rsidRPr="001B5194">
        <w:rPr>
          <w:rFonts w:cs="Times New Roman"/>
        </w:rPr>
        <w:t xml:space="preserve">2002. </w:t>
      </w:r>
      <w:r w:rsidRPr="001B5194">
        <w:rPr>
          <w:rFonts w:cs="Times New Roman"/>
          <w:i/>
        </w:rPr>
        <w:t>Implications for M&amp;A Activities - The Evolution of Competition Law in Relation to Mergers</w:t>
      </w:r>
      <w:r w:rsidRPr="001B5194">
        <w:rPr>
          <w:rFonts w:cs="Times New Roman"/>
        </w:rPr>
        <w:t>.</w:t>
      </w:r>
    </w:p>
    <w:p w:rsidR="00F5524E" w:rsidRPr="001B5194" w:rsidRDefault="00F5524E" w:rsidP="001B5194">
      <w:pPr>
        <w:contextualSpacing/>
        <w:rPr>
          <w:rFonts w:cs="Times New Roman"/>
        </w:rPr>
      </w:pPr>
      <w:r w:rsidRPr="001B5194">
        <w:rPr>
          <w:rFonts w:cs="Times New Roman"/>
        </w:rPr>
        <w:t>http://www.deneysreitz.co.za/index.php/tools/print/implications_for_mactivities_the_evolution_of_</w:t>
      </w:r>
    </w:p>
    <w:p w:rsidR="00F5524E" w:rsidRPr="001B5194" w:rsidRDefault="00F5524E" w:rsidP="001B5194">
      <w:pPr>
        <w:contextualSpacing/>
        <w:rPr>
          <w:rFonts w:cs="Times New Roman"/>
        </w:rPr>
      </w:pPr>
      <w:r w:rsidRPr="001B5194">
        <w:rPr>
          <w:rFonts w:cs="Times New Roman"/>
        </w:rPr>
        <w:t>compeition_law_in_relati/news (accessed on 4 March 2011)</w:t>
      </w:r>
    </w:p>
    <w:p w:rsidR="00F5524E" w:rsidRPr="001B5194" w:rsidRDefault="00F5524E" w:rsidP="001B5194">
      <w:pPr>
        <w:contextualSpacing/>
        <w:rPr>
          <w:rFonts w:cs="Times New Roman"/>
          <w:i/>
        </w:rPr>
      </w:pPr>
    </w:p>
    <w:p w:rsidR="00F5524E" w:rsidRPr="001B5194" w:rsidRDefault="00F5524E" w:rsidP="001B5194">
      <w:pPr>
        <w:contextualSpacing/>
        <w:rPr>
          <w:rFonts w:cs="Times New Roman"/>
          <w:i/>
        </w:rPr>
      </w:pPr>
      <w:r w:rsidRPr="001B5194">
        <w:rPr>
          <w:rFonts w:cs="Times New Roman"/>
          <w:i/>
        </w:rPr>
        <w:t>Distillers Corporation (SA) Ltd/Stellenbosch Farmers Winery Group Ltd case no 08/LM/Feb02</w:t>
      </w:r>
    </w:p>
    <w:p w:rsidR="00F5524E" w:rsidRPr="001B5194" w:rsidRDefault="00F5524E" w:rsidP="001B5194">
      <w:pPr>
        <w:contextualSpacing/>
        <w:rPr>
          <w:rFonts w:cs="Times New Roman"/>
        </w:rPr>
      </w:pPr>
    </w:p>
    <w:p w:rsidR="00F5524E" w:rsidRPr="001B5194" w:rsidRDefault="00F5524E" w:rsidP="001B5194">
      <w:pPr>
        <w:contextualSpacing/>
        <w:rPr>
          <w:rFonts w:cs="Times New Roman"/>
        </w:rPr>
      </w:pPr>
      <w:r w:rsidRPr="001B5194">
        <w:rPr>
          <w:rFonts w:cs="Times New Roman"/>
          <w:i/>
        </w:rPr>
        <w:t>Glaxo Wellcome (Pty) Ltd/National Association Of Pharmaceutical Wholesalers case no 15/CAC/Feb02</w:t>
      </w:r>
    </w:p>
    <w:p w:rsidR="00F5524E" w:rsidRPr="001B5194" w:rsidRDefault="00F5524E" w:rsidP="001B5194">
      <w:pPr>
        <w:contextualSpacing/>
        <w:rPr>
          <w:rFonts w:cs="Times New Roman"/>
        </w:rPr>
      </w:pPr>
    </w:p>
    <w:p w:rsidR="00F5524E" w:rsidRPr="001B5194" w:rsidRDefault="00F5524E" w:rsidP="001B5194">
      <w:pPr>
        <w:contextualSpacing/>
        <w:rPr>
          <w:rFonts w:cs="Times New Roman"/>
        </w:rPr>
      </w:pPr>
      <w:r w:rsidRPr="001B5194">
        <w:rPr>
          <w:rFonts w:cs="Times New Roman"/>
        </w:rPr>
        <w:t>Global Competition Review</w:t>
      </w:r>
    </w:p>
    <w:p w:rsidR="00F5524E" w:rsidRPr="001B5194" w:rsidRDefault="00F5524E" w:rsidP="001B5194">
      <w:pPr>
        <w:contextualSpacing/>
        <w:rPr>
          <w:rFonts w:cs="Times New Roman"/>
        </w:rPr>
      </w:pPr>
      <w:r w:rsidRPr="001B5194">
        <w:rPr>
          <w:rFonts w:cs="Times New Roman"/>
        </w:rPr>
        <w:t xml:space="preserve">2001. </w:t>
      </w:r>
      <w:r w:rsidRPr="001B5194">
        <w:rPr>
          <w:rFonts w:cs="Times New Roman"/>
          <w:i/>
        </w:rPr>
        <w:t>Merger Control 2011</w:t>
      </w:r>
      <w:r w:rsidRPr="001B5194">
        <w:rPr>
          <w:rFonts w:cs="Times New Roman"/>
        </w:rPr>
        <w:t>. 2001 ed. London: Law Business Research Ltd.</w:t>
      </w:r>
    </w:p>
    <w:p w:rsidR="00F5524E" w:rsidRPr="001B5194" w:rsidRDefault="00F5524E" w:rsidP="001B5194">
      <w:pPr>
        <w:contextualSpacing/>
        <w:rPr>
          <w:rFonts w:cs="Times New Roman"/>
        </w:rPr>
      </w:pPr>
    </w:p>
    <w:p w:rsidR="00F5524E" w:rsidRPr="001B5194" w:rsidRDefault="00F5524E" w:rsidP="001B5194">
      <w:pPr>
        <w:contextualSpacing/>
        <w:rPr>
          <w:rFonts w:cs="Times New Roman"/>
        </w:rPr>
      </w:pPr>
      <w:r w:rsidRPr="001B5194">
        <w:rPr>
          <w:rFonts w:cs="Times New Roman"/>
        </w:rPr>
        <w:t>Hawthorne R and Morris K</w:t>
      </w:r>
    </w:p>
    <w:p w:rsidR="00F5524E" w:rsidRPr="001B5194" w:rsidRDefault="00F5524E" w:rsidP="001B5194">
      <w:pPr>
        <w:contextualSpacing/>
        <w:rPr>
          <w:rFonts w:cs="Times New Roman"/>
        </w:rPr>
      </w:pPr>
      <w:r w:rsidRPr="001B5194">
        <w:rPr>
          <w:rFonts w:cs="Times New Roman"/>
        </w:rPr>
        <w:t xml:space="preserve">2008. Policy Approaches to Margin Squeeze in the Telecommunications Sector in South Africa. </w:t>
      </w:r>
      <w:r w:rsidRPr="001B5194">
        <w:rPr>
          <w:rFonts w:cs="Times New Roman"/>
          <w:i/>
        </w:rPr>
        <w:t>Development Policy Research Unit</w:t>
      </w:r>
      <w:r w:rsidRPr="001B5194">
        <w:rPr>
          <w:rFonts w:cs="Times New Roman"/>
        </w:rPr>
        <w:t>: Cape Town: UCT.</w:t>
      </w:r>
    </w:p>
    <w:p w:rsidR="00F5524E" w:rsidRPr="001B5194" w:rsidRDefault="00F5524E" w:rsidP="001B5194">
      <w:pPr>
        <w:contextualSpacing/>
        <w:rPr>
          <w:rFonts w:cs="Times New Roman"/>
        </w:rPr>
      </w:pPr>
      <w:r w:rsidRPr="001B5194">
        <w:rPr>
          <w:rFonts w:cs="Times New Roman"/>
          <w:i/>
        </w:rPr>
        <w:lastRenderedPageBreak/>
        <w:t>Harmony Gold Mining Company Ltd/Gold Fields Ltd case no 93/LM/NOV04</w:t>
      </w:r>
    </w:p>
    <w:p w:rsidR="00F5524E" w:rsidRPr="001B5194" w:rsidRDefault="00F5524E" w:rsidP="001B5194">
      <w:pPr>
        <w:contextualSpacing/>
        <w:rPr>
          <w:rFonts w:cs="Times New Roman"/>
        </w:rPr>
      </w:pPr>
    </w:p>
    <w:p w:rsidR="00F5524E" w:rsidRPr="001B5194" w:rsidRDefault="00F5524E" w:rsidP="001B5194">
      <w:pPr>
        <w:contextualSpacing/>
        <w:rPr>
          <w:rFonts w:cs="Times New Roman"/>
        </w:rPr>
      </w:pPr>
      <w:r w:rsidRPr="001B5194">
        <w:rPr>
          <w:rFonts w:cs="Times New Roman"/>
        </w:rPr>
        <w:t>Holmes WC</w:t>
      </w:r>
    </w:p>
    <w:p w:rsidR="00F5524E" w:rsidRPr="001B5194" w:rsidRDefault="00F5524E" w:rsidP="001B5194">
      <w:pPr>
        <w:contextualSpacing/>
        <w:rPr>
          <w:rFonts w:cs="Times New Roman"/>
        </w:rPr>
      </w:pPr>
      <w:r w:rsidRPr="001B5194">
        <w:rPr>
          <w:rFonts w:cs="Times New Roman"/>
        </w:rPr>
        <w:t xml:space="preserve">2002. </w:t>
      </w:r>
      <w:r w:rsidRPr="001B5194">
        <w:rPr>
          <w:rFonts w:cs="Times New Roman"/>
          <w:i/>
        </w:rPr>
        <w:t>Antitrust Law Handbook</w:t>
      </w:r>
      <w:r w:rsidRPr="001B5194">
        <w:rPr>
          <w:rFonts w:cs="Times New Roman"/>
        </w:rPr>
        <w:t>. 2002 ed. ST. Paul: West Group.</w:t>
      </w:r>
    </w:p>
    <w:p w:rsidR="00F5524E" w:rsidRPr="001B5194" w:rsidRDefault="00F5524E" w:rsidP="001B5194">
      <w:pPr>
        <w:contextualSpacing/>
        <w:rPr>
          <w:rFonts w:cs="Times New Roman"/>
        </w:rPr>
      </w:pPr>
    </w:p>
    <w:p w:rsidR="00F5524E" w:rsidRPr="001B5194" w:rsidRDefault="00F5524E" w:rsidP="001B5194">
      <w:pPr>
        <w:contextualSpacing/>
        <w:rPr>
          <w:rFonts w:cs="Times New Roman"/>
        </w:rPr>
      </w:pPr>
      <w:r w:rsidRPr="001B5194">
        <w:rPr>
          <w:rFonts w:cs="Times New Roman"/>
        </w:rPr>
        <w:t>Ilzkovitz F and Meiklejohn R</w:t>
      </w:r>
    </w:p>
    <w:p w:rsidR="00F5524E" w:rsidRPr="001B5194" w:rsidRDefault="00F5524E" w:rsidP="001B5194">
      <w:pPr>
        <w:contextualSpacing/>
        <w:rPr>
          <w:rFonts w:cs="Times New Roman"/>
        </w:rPr>
      </w:pPr>
      <w:r w:rsidRPr="001B5194">
        <w:rPr>
          <w:rFonts w:cs="Times New Roman"/>
        </w:rPr>
        <w:t xml:space="preserve">2003. European Merger Control: Do We Need An Efficiency Defence? </w:t>
      </w:r>
      <w:r w:rsidRPr="001B5194">
        <w:rPr>
          <w:rFonts w:cs="Times New Roman"/>
          <w:i/>
        </w:rPr>
        <w:t>Journal of Industry, Competition and Trade</w:t>
      </w:r>
      <w:r w:rsidRPr="001B5194">
        <w:rPr>
          <w:rFonts w:cs="Times New Roman"/>
        </w:rPr>
        <w:t xml:space="preserve"> 3(1):57-85.</w:t>
      </w:r>
    </w:p>
    <w:p w:rsidR="00F5524E" w:rsidRPr="001B5194" w:rsidRDefault="00F5524E" w:rsidP="001B5194">
      <w:pPr>
        <w:contextualSpacing/>
        <w:rPr>
          <w:rFonts w:cs="Times New Roman"/>
        </w:rPr>
      </w:pPr>
    </w:p>
    <w:p w:rsidR="00F5524E" w:rsidRPr="001B5194" w:rsidRDefault="00F5524E" w:rsidP="001B5194">
      <w:pPr>
        <w:contextualSpacing/>
        <w:rPr>
          <w:rFonts w:cs="Times New Roman"/>
        </w:rPr>
      </w:pPr>
      <w:r w:rsidRPr="001B5194">
        <w:rPr>
          <w:rFonts w:cs="Times New Roman"/>
        </w:rPr>
        <w:t>International Competition Network</w:t>
      </w:r>
    </w:p>
    <w:p w:rsidR="00F5524E" w:rsidRPr="001B5194" w:rsidRDefault="00F5524E" w:rsidP="001B5194">
      <w:pPr>
        <w:contextualSpacing/>
        <w:rPr>
          <w:rFonts w:cs="Times New Roman"/>
        </w:rPr>
      </w:pPr>
      <w:r w:rsidRPr="001B5194">
        <w:rPr>
          <w:rFonts w:cs="Times New Roman"/>
        </w:rPr>
        <w:t xml:space="preserve">2008. </w:t>
      </w:r>
      <w:r w:rsidRPr="001B5194">
        <w:rPr>
          <w:rFonts w:cs="Times New Roman"/>
          <w:i/>
        </w:rPr>
        <w:t>Report on Single Branding/Exclusive Dealing</w:t>
      </w:r>
      <w:r w:rsidRPr="001B5194">
        <w:rPr>
          <w:rFonts w:cs="Times New Roman"/>
        </w:rPr>
        <w:t xml:space="preserve">. http://www.internationalcompetitionnetwork.org/uploads/library/doc355.pdf </w:t>
      </w:r>
    </w:p>
    <w:p w:rsidR="00F5524E" w:rsidRPr="001B5194" w:rsidRDefault="00F5524E" w:rsidP="001B5194">
      <w:pPr>
        <w:contextualSpacing/>
        <w:rPr>
          <w:rFonts w:cs="Times New Roman"/>
        </w:rPr>
      </w:pPr>
      <w:r w:rsidRPr="001B5194">
        <w:rPr>
          <w:rFonts w:cs="Times New Roman"/>
        </w:rPr>
        <w:t>(</w:t>
      </w:r>
      <w:r w:rsidRPr="001B5194">
        <w:rPr>
          <w:rStyle w:val="HTMLCite"/>
          <w:rFonts w:cs="Times New Roman"/>
          <w:i w:val="0"/>
        </w:rPr>
        <w:t>accessed on 4 March 2011</w:t>
      </w:r>
      <w:r w:rsidRPr="001B5194">
        <w:rPr>
          <w:rFonts w:cs="Times New Roman"/>
        </w:rPr>
        <w:t>)</w:t>
      </w:r>
    </w:p>
    <w:p w:rsidR="00F5524E" w:rsidRPr="001B5194" w:rsidRDefault="00F5524E" w:rsidP="001B5194">
      <w:pPr>
        <w:contextualSpacing/>
        <w:rPr>
          <w:rFonts w:cs="Times New Roman"/>
        </w:rPr>
      </w:pPr>
    </w:p>
    <w:p w:rsidR="00F5524E" w:rsidRPr="001B5194" w:rsidRDefault="00F5524E" w:rsidP="001B5194">
      <w:pPr>
        <w:contextualSpacing/>
        <w:rPr>
          <w:rFonts w:cs="Times New Roman"/>
        </w:rPr>
      </w:pPr>
      <w:r w:rsidRPr="001B5194">
        <w:rPr>
          <w:rFonts w:cs="Times New Roman"/>
        </w:rPr>
        <w:t>International Competition Network</w:t>
      </w:r>
    </w:p>
    <w:p w:rsidR="00F5524E" w:rsidRPr="001B5194" w:rsidRDefault="00F5524E" w:rsidP="001B5194">
      <w:pPr>
        <w:contextualSpacing/>
        <w:rPr>
          <w:rFonts w:cs="Times New Roman"/>
        </w:rPr>
      </w:pPr>
      <w:r w:rsidRPr="001B5194">
        <w:rPr>
          <w:rFonts w:cs="Times New Roman"/>
        </w:rPr>
        <w:t xml:space="preserve">2010. </w:t>
      </w:r>
      <w:r w:rsidRPr="001B5194">
        <w:rPr>
          <w:rFonts w:cs="Times New Roman"/>
          <w:i/>
        </w:rPr>
        <w:t>Trends and Developments in Cartel Enforcement</w:t>
      </w:r>
      <w:r w:rsidRPr="001B5194">
        <w:rPr>
          <w:rFonts w:cs="Times New Roman"/>
        </w:rPr>
        <w:t xml:space="preserve">. </w:t>
      </w:r>
    </w:p>
    <w:p w:rsidR="00F5524E" w:rsidRPr="001B5194" w:rsidRDefault="00F5524E" w:rsidP="001B5194">
      <w:pPr>
        <w:contextualSpacing/>
        <w:rPr>
          <w:rStyle w:val="HTMLCite"/>
          <w:rFonts w:cs="Times New Roman"/>
          <w:i w:val="0"/>
        </w:rPr>
      </w:pPr>
      <w:r w:rsidRPr="001B5194">
        <w:rPr>
          <w:rFonts w:cs="Times New Roman"/>
        </w:rPr>
        <w:t>www.internationalcompetitionnetwork.org/uploads/library/doc613.pdf</w:t>
      </w:r>
      <w:r w:rsidRPr="001B5194">
        <w:rPr>
          <w:rStyle w:val="HTMLCite"/>
          <w:rFonts w:cs="Times New Roman"/>
        </w:rPr>
        <w:t xml:space="preserve"> </w:t>
      </w:r>
      <w:r w:rsidRPr="001B5194">
        <w:rPr>
          <w:rStyle w:val="HTMLCite"/>
          <w:rFonts w:cs="Times New Roman"/>
          <w:i w:val="0"/>
        </w:rPr>
        <w:t>(accessed on 4 March 2011)</w:t>
      </w:r>
    </w:p>
    <w:p w:rsidR="00F5524E" w:rsidRPr="001B5194" w:rsidRDefault="00F5524E" w:rsidP="001B5194">
      <w:pPr>
        <w:contextualSpacing/>
        <w:rPr>
          <w:rStyle w:val="HTMLCite"/>
          <w:rFonts w:cs="Times New Roman"/>
          <w:i w:val="0"/>
        </w:rPr>
      </w:pPr>
    </w:p>
    <w:p w:rsidR="00F5524E" w:rsidRPr="001B5194" w:rsidRDefault="00F5524E" w:rsidP="001B5194">
      <w:pPr>
        <w:contextualSpacing/>
        <w:rPr>
          <w:rFonts w:cs="Times New Roman"/>
          <w:i/>
        </w:rPr>
      </w:pPr>
      <w:r w:rsidRPr="001B5194">
        <w:rPr>
          <w:rFonts w:cs="Times New Roman"/>
          <w:i/>
        </w:rPr>
        <w:t>Iscor Ltd/Saldanha Steel (Pty) Ltd case no 67/LM/Dec01</w:t>
      </w:r>
    </w:p>
    <w:p w:rsidR="00F5524E" w:rsidRPr="001B5194" w:rsidRDefault="00F5524E" w:rsidP="001B5194">
      <w:pPr>
        <w:contextualSpacing/>
        <w:rPr>
          <w:rFonts w:cs="Times New Roman"/>
        </w:rPr>
      </w:pPr>
    </w:p>
    <w:p w:rsidR="00F5524E" w:rsidRPr="001B5194" w:rsidRDefault="00F5524E" w:rsidP="001B5194">
      <w:pPr>
        <w:contextualSpacing/>
        <w:rPr>
          <w:rFonts w:cs="Times New Roman"/>
        </w:rPr>
      </w:pPr>
      <w:r w:rsidRPr="001B5194">
        <w:rPr>
          <w:rFonts w:cs="Times New Roman"/>
        </w:rPr>
        <w:t>Korah V</w:t>
      </w:r>
    </w:p>
    <w:p w:rsidR="00F5524E" w:rsidRPr="001B5194" w:rsidRDefault="00F5524E" w:rsidP="001B5194">
      <w:pPr>
        <w:contextualSpacing/>
        <w:rPr>
          <w:rFonts w:cs="Times New Roman"/>
        </w:rPr>
      </w:pPr>
      <w:r w:rsidRPr="001B5194">
        <w:rPr>
          <w:rFonts w:cs="Times New Roman"/>
        </w:rPr>
        <w:t xml:space="preserve">2004. </w:t>
      </w:r>
      <w:r w:rsidRPr="001B5194">
        <w:rPr>
          <w:rFonts w:cs="Times New Roman"/>
          <w:i/>
        </w:rPr>
        <w:t>An introductory guide to EC Competition Law and Practice</w:t>
      </w:r>
      <w:r w:rsidRPr="001B5194">
        <w:rPr>
          <w:rFonts w:cs="Times New Roman"/>
        </w:rPr>
        <w:t>. 8</w:t>
      </w:r>
      <w:r w:rsidRPr="001B5194">
        <w:rPr>
          <w:rFonts w:cs="Times New Roman"/>
          <w:vertAlign w:val="superscript"/>
        </w:rPr>
        <w:t>th</w:t>
      </w:r>
      <w:r w:rsidRPr="001B5194">
        <w:rPr>
          <w:rFonts w:cs="Times New Roman"/>
        </w:rPr>
        <w:t xml:space="preserve"> ed. Oxford: Portland Oregon.</w:t>
      </w:r>
    </w:p>
    <w:p w:rsidR="00F5524E" w:rsidRPr="001B5194" w:rsidRDefault="00F5524E" w:rsidP="001B5194">
      <w:pPr>
        <w:contextualSpacing/>
        <w:jc w:val="both"/>
        <w:rPr>
          <w:rFonts w:cs="Times New Roman"/>
          <w:iCs/>
          <w:lang w:eastAsia="en-GB" w:bidi="en-GB"/>
        </w:rPr>
      </w:pPr>
    </w:p>
    <w:p w:rsidR="00F5524E" w:rsidRPr="001B5194" w:rsidRDefault="00F5524E" w:rsidP="001B5194">
      <w:pPr>
        <w:contextualSpacing/>
        <w:jc w:val="both"/>
        <w:rPr>
          <w:rFonts w:cs="Times New Roman"/>
          <w:iCs/>
          <w:lang w:eastAsia="en-GB" w:bidi="en-GB"/>
        </w:rPr>
      </w:pPr>
      <w:r w:rsidRPr="001B5194">
        <w:rPr>
          <w:rFonts w:cs="Times New Roman"/>
          <w:iCs/>
          <w:lang w:eastAsia="en-GB" w:bidi="en-GB"/>
        </w:rPr>
        <w:t>Neuhoff M and Govender M and Versfeld M and Dingley D</w:t>
      </w:r>
    </w:p>
    <w:p w:rsidR="00F5524E" w:rsidRPr="001B5194" w:rsidRDefault="00F5524E" w:rsidP="001B5194">
      <w:pPr>
        <w:contextualSpacing/>
        <w:jc w:val="both"/>
        <w:rPr>
          <w:rFonts w:cs="Times New Roman"/>
          <w:iCs/>
          <w:lang w:eastAsia="en-GB" w:bidi="en-GB"/>
        </w:rPr>
      </w:pPr>
      <w:r w:rsidRPr="001B5194">
        <w:rPr>
          <w:rFonts w:cs="Times New Roman"/>
          <w:iCs/>
          <w:lang w:eastAsia="en-GB" w:bidi="en-GB"/>
        </w:rPr>
        <w:t xml:space="preserve">2006. </w:t>
      </w:r>
      <w:r w:rsidRPr="001B5194">
        <w:rPr>
          <w:rFonts w:cs="Times New Roman"/>
          <w:i/>
          <w:iCs/>
          <w:lang w:eastAsia="en-GB" w:bidi="en-GB"/>
        </w:rPr>
        <w:t>A Practical Guide to the South African Competition Act</w:t>
      </w:r>
      <w:r w:rsidRPr="001B5194">
        <w:rPr>
          <w:rFonts w:cs="Times New Roman"/>
          <w:iCs/>
          <w:lang w:eastAsia="en-GB" w:bidi="en-GB"/>
        </w:rPr>
        <w:t>. 1</w:t>
      </w:r>
      <w:r w:rsidRPr="001B5194">
        <w:rPr>
          <w:rFonts w:cs="Times New Roman"/>
          <w:iCs/>
          <w:vertAlign w:val="superscript"/>
          <w:lang w:eastAsia="en-GB" w:bidi="en-GB"/>
        </w:rPr>
        <w:t>st</w:t>
      </w:r>
      <w:r w:rsidRPr="001B5194">
        <w:rPr>
          <w:rFonts w:cs="Times New Roman"/>
          <w:iCs/>
          <w:lang w:eastAsia="en-GB" w:bidi="en-GB"/>
        </w:rPr>
        <w:t xml:space="preserve"> ed. Durban: LexisNexis. </w:t>
      </w:r>
    </w:p>
    <w:p w:rsidR="00F5524E" w:rsidRPr="001B5194" w:rsidRDefault="00F5524E" w:rsidP="001B5194">
      <w:pPr>
        <w:contextualSpacing/>
        <w:jc w:val="both"/>
        <w:rPr>
          <w:rFonts w:cs="Times New Roman"/>
          <w:iCs/>
          <w:lang w:eastAsia="en-GB" w:bidi="en-GB"/>
        </w:rPr>
      </w:pPr>
    </w:p>
    <w:p w:rsidR="00F5524E" w:rsidRPr="001B5194" w:rsidRDefault="00F5524E" w:rsidP="001B5194">
      <w:pPr>
        <w:contextualSpacing/>
        <w:jc w:val="both"/>
        <w:rPr>
          <w:rFonts w:cs="Times New Roman"/>
        </w:rPr>
      </w:pPr>
      <w:r w:rsidRPr="001B5194">
        <w:rPr>
          <w:rFonts w:cs="Times New Roman"/>
        </w:rPr>
        <w:t>Norton A</w:t>
      </w:r>
    </w:p>
    <w:p w:rsidR="00F5524E" w:rsidRPr="001B5194" w:rsidRDefault="00F5524E" w:rsidP="001B5194">
      <w:pPr>
        <w:contextualSpacing/>
        <w:jc w:val="both"/>
        <w:rPr>
          <w:rFonts w:cs="Times New Roman"/>
        </w:rPr>
      </w:pPr>
      <w:r w:rsidRPr="001B5194">
        <w:rPr>
          <w:rFonts w:cs="Times New Roman"/>
        </w:rPr>
        <w:t xml:space="preserve">2000. </w:t>
      </w:r>
      <w:r w:rsidRPr="001B5194">
        <w:rPr>
          <w:rFonts w:cs="Times New Roman"/>
          <w:i/>
        </w:rPr>
        <w:t>South Africa: Efficiency Arguments in Favour of Mergers and Acquisitions</w:t>
      </w:r>
      <w:r w:rsidRPr="001B5194">
        <w:rPr>
          <w:rFonts w:cs="Times New Roman"/>
        </w:rPr>
        <w:t>.</w:t>
      </w:r>
    </w:p>
    <w:p w:rsidR="00F5524E" w:rsidRPr="001B5194" w:rsidRDefault="00F5524E" w:rsidP="001B5194">
      <w:pPr>
        <w:contextualSpacing/>
        <w:jc w:val="both"/>
        <w:rPr>
          <w:rFonts w:cs="Times New Roman"/>
        </w:rPr>
      </w:pPr>
      <w:r w:rsidRPr="001B5194">
        <w:rPr>
          <w:rFonts w:cs="Times New Roman"/>
        </w:rPr>
        <w:t>http://www.mondaq.com/article.asp?articleid=8565 (accessed on 4 March 2011)</w:t>
      </w:r>
    </w:p>
    <w:p w:rsidR="00F5524E" w:rsidRPr="001B5194" w:rsidRDefault="00F5524E" w:rsidP="001B5194">
      <w:pPr>
        <w:contextualSpacing/>
        <w:jc w:val="both"/>
        <w:rPr>
          <w:rFonts w:cs="Times New Roman"/>
          <w:i/>
        </w:rPr>
      </w:pPr>
    </w:p>
    <w:p w:rsidR="00F5524E" w:rsidRPr="001B5194" w:rsidRDefault="00F5524E" w:rsidP="001B5194">
      <w:pPr>
        <w:contextualSpacing/>
        <w:jc w:val="both"/>
        <w:rPr>
          <w:rFonts w:cs="Times New Roman"/>
        </w:rPr>
      </w:pPr>
      <w:r w:rsidRPr="001B5194">
        <w:rPr>
          <w:rFonts w:cs="Times New Roman"/>
        </w:rPr>
        <w:t>Pace LF</w:t>
      </w:r>
    </w:p>
    <w:p w:rsidR="00F5524E" w:rsidRPr="001B5194" w:rsidRDefault="00F5524E" w:rsidP="001B5194">
      <w:pPr>
        <w:contextualSpacing/>
        <w:jc w:val="both"/>
        <w:rPr>
          <w:rFonts w:cs="Times New Roman"/>
        </w:rPr>
      </w:pPr>
      <w:r w:rsidRPr="001B5194">
        <w:rPr>
          <w:rFonts w:cs="Times New Roman"/>
        </w:rPr>
        <w:t xml:space="preserve">2007. </w:t>
      </w:r>
      <w:r w:rsidRPr="001B5194">
        <w:rPr>
          <w:rFonts w:cs="Times New Roman"/>
          <w:i/>
        </w:rPr>
        <w:t>European Antitrust Law</w:t>
      </w:r>
      <w:r w:rsidRPr="001B5194">
        <w:rPr>
          <w:rFonts w:cs="Times New Roman"/>
        </w:rPr>
        <w:t>. 1</w:t>
      </w:r>
      <w:r w:rsidRPr="001B5194">
        <w:rPr>
          <w:rFonts w:cs="Times New Roman"/>
          <w:vertAlign w:val="superscript"/>
        </w:rPr>
        <w:t>st</w:t>
      </w:r>
      <w:r w:rsidRPr="001B5194">
        <w:rPr>
          <w:rFonts w:cs="Times New Roman"/>
        </w:rPr>
        <w:t xml:space="preserve"> ed. Cheltenham: Edward Elgar.</w:t>
      </w:r>
    </w:p>
    <w:p w:rsidR="00F5524E" w:rsidRPr="001B5194" w:rsidRDefault="00F5524E" w:rsidP="001B5194">
      <w:pPr>
        <w:contextualSpacing/>
        <w:jc w:val="both"/>
        <w:rPr>
          <w:rFonts w:cs="Times New Roman"/>
          <w:i/>
        </w:rPr>
      </w:pPr>
    </w:p>
    <w:p w:rsidR="00F5524E" w:rsidRPr="001B5194" w:rsidRDefault="00F5524E" w:rsidP="001B5194">
      <w:pPr>
        <w:contextualSpacing/>
        <w:jc w:val="both"/>
        <w:rPr>
          <w:rFonts w:cs="Times New Roman"/>
          <w:i/>
        </w:rPr>
      </w:pPr>
      <w:r w:rsidRPr="001B5194">
        <w:rPr>
          <w:rFonts w:cs="Times New Roman"/>
          <w:i/>
        </w:rPr>
        <w:t>Patensie Sitrus Beherend Beperk/The Competition Commission case no 16/CAC/Apr02</w:t>
      </w:r>
    </w:p>
    <w:p w:rsidR="00F5524E" w:rsidRPr="001B5194" w:rsidRDefault="00F5524E" w:rsidP="001B5194">
      <w:pPr>
        <w:contextualSpacing/>
        <w:jc w:val="both"/>
        <w:rPr>
          <w:rFonts w:cs="Times New Roman"/>
        </w:rPr>
      </w:pPr>
    </w:p>
    <w:p w:rsidR="00F5524E" w:rsidRPr="001B5194" w:rsidRDefault="00F5524E" w:rsidP="001B5194">
      <w:pPr>
        <w:contextualSpacing/>
        <w:rPr>
          <w:rFonts w:cs="Times New Roman"/>
        </w:rPr>
      </w:pPr>
      <w:r w:rsidRPr="001B5194">
        <w:rPr>
          <w:rFonts w:cs="Times New Roman"/>
        </w:rPr>
        <w:lastRenderedPageBreak/>
        <w:t>Sutherland P</w:t>
      </w:r>
    </w:p>
    <w:p w:rsidR="00F5524E" w:rsidRPr="001B5194" w:rsidRDefault="00F5524E" w:rsidP="001B5194">
      <w:pPr>
        <w:contextualSpacing/>
        <w:rPr>
          <w:rFonts w:cs="Times New Roman"/>
        </w:rPr>
      </w:pPr>
      <w:r w:rsidRPr="001B5194">
        <w:rPr>
          <w:rFonts w:cs="Times New Roman"/>
        </w:rPr>
        <w:t xml:space="preserve">2008. Steel and Propane: The Efficiency Defence and Horizontal Mergers. </w:t>
      </w:r>
      <w:r w:rsidRPr="001B5194">
        <w:rPr>
          <w:rFonts w:cs="Times New Roman"/>
          <w:i/>
        </w:rPr>
        <w:t>South African Law Journal</w:t>
      </w:r>
      <w:r w:rsidRPr="001B5194">
        <w:rPr>
          <w:rFonts w:cs="Times New Roman"/>
        </w:rPr>
        <w:t xml:space="preserve"> 125(2):331-370.</w:t>
      </w:r>
    </w:p>
    <w:p w:rsidR="00F5524E" w:rsidRPr="001B5194" w:rsidRDefault="00F5524E" w:rsidP="001B5194">
      <w:pPr>
        <w:contextualSpacing/>
        <w:rPr>
          <w:rFonts w:cs="Times New Roman"/>
          <w:i/>
        </w:rPr>
      </w:pPr>
    </w:p>
    <w:p w:rsidR="00F5524E" w:rsidRPr="001B5194" w:rsidRDefault="00F5524E" w:rsidP="001B5194">
      <w:pPr>
        <w:contextualSpacing/>
        <w:rPr>
          <w:rFonts w:cs="Times New Roman"/>
          <w:i/>
        </w:rPr>
      </w:pPr>
      <w:r w:rsidRPr="001B5194">
        <w:rPr>
          <w:rFonts w:cs="Times New Roman"/>
          <w:i/>
        </w:rPr>
        <w:t>South African Raisins (Pty) Ltd/SAD Holdings Ltd case no 04/IR/Oct/1999.</w:t>
      </w:r>
    </w:p>
    <w:p w:rsidR="00F5524E" w:rsidRPr="001B5194" w:rsidRDefault="00F5524E" w:rsidP="001B5194">
      <w:pPr>
        <w:contextualSpacing/>
        <w:rPr>
          <w:rFonts w:cs="Times New Roman"/>
          <w:iCs/>
          <w:lang w:eastAsia="en-GB" w:bidi="en-GB"/>
        </w:rPr>
      </w:pPr>
    </w:p>
    <w:p w:rsidR="00F5524E" w:rsidRPr="001B5194" w:rsidRDefault="00F5524E" w:rsidP="001B5194">
      <w:pPr>
        <w:contextualSpacing/>
        <w:rPr>
          <w:rFonts w:cs="Times New Roman"/>
        </w:rPr>
      </w:pPr>
      <w:r w:rsidRPr="001B5194">
        <w:rPr>
          <w:rFonts w:cs="Times New Roman"/>
        </w:rPr>
        <w:t>Tardiff TJ</w:t>
      </w:r>
    </w:p>
    <w:p w:rsidR="00F5524E" w:rsidRPr="001B5194" w:rsidRDefault="00F5524E" w:rsidP="001B5194">
      <w:pPr>
        <w:contextualSpacing/>
        <w:rPr>
          <w:rFonts w:cs="Times New Roman"/>
        </w:rPr>
      </w:pPr>
      <w:r w:rsidRPr="001B5194">
        <w:rPr>
          <w:rFonts w:cs="Times New Roman"/>
        </w:rPr>
        <w:t xml:space="preserve">2009. Efficiency Metrics For Competition Policy In Network Industries. </w:t>
      </w:r>
      <w:r w:rsidRPr="001B5194">
        <w:rPr>
          <w:rFonts w:cs="Times New Roman"/>
          <w:i/>
        </w:rPr>
        <w:t>Journal of Competition Law &amp; Economics</w:t>
      </w:r>
      <w:r w:rsidRPr="001B5194">
        <w:rPr>
          <w:rFonts w:cs="Times New Roman"/>
        </w:rPr>
        <w:t xml:space="preserve"> 6(4):957-972.</w:t>
      </w:r>
    </w:p>
    <w:p w:rsidR="00F5524E" w:rsidRPr="001B5194" w:rsidRDefault="00F5524E" w:rsidP="001B5194">
      <w:pPr>
        <w:contextualSpacing/>
        <w:rPr>
          <w:rFonts w:cs="Times New Roman"/>
          <w:i/>
        </w:rPr>
      </w:pPr>
    </w:p>
    <w:p w:rsidR="00F5524E" w:rsidRPr="001B5194" w:rsidRDefault="00F5524E" w:rsidP="001B5194">
      <w:pPr>
        <w:contextualSpacing/>
        <w:rPr>
          <w:rFonts w:cs="Times New Roman"/>
          <w:i/>
        </w:rPr>
      </w:pPr>
      <w:r w:rsidRPr="001B5194">
        <w:rPr>
          <w:rFonts w:cs="Times New Roman"/>
          <w:i/>
        </w:rPr>
        <w:t>Telkom South Africa ltd/Business Connexion Group Ltd case no 51/LM/Jun06</w:t>
      </w:r>
    </w:p>
    <w:p w:rsidR="00F5524E" w:rsidRPr="001B5194" w:rsidRDefault="00F5524E" w:rsidP="001B5194">
      <w:pPr>
        <w:contextualSpacing/>
        <w:rPr>
          <w:rFonts w:cs="Times New Roman"/>
        </w:rPr>
      </w:pPr>
    </w:p>
    <w:p w:rsidR="00F5524E" w:rsidRPr="001B5194" w:rsidRDefault="00F5524E" w:rsidP="001B5194">
      <w:pPr>
        <w:contextualSpacing/>
        <w:rPr>
          <w:rFonts w:cs="Times New Roman"/>
          <w:i/>
        </w:rPr>
      </w:pPr>
      <w:r w:rsidRPr="001B5194">
        <w:rPr>
          <w:rFonts w:cs="Times New Roman"/>
          <w:i/>
        </w:rPr>
        <w:t xml:space="preserve">Tiger Brands (Pty) Ltd/Langeberg Foods International (Pty) Ltd case no 46/LM/May05 </w:t>
      </w:r>
    </w:p>
    <w:p w:rsidR="00F5524E" w:rsidRPr="001B5194" w:rsidRDefault="00F5524E" w:rsidP="001B5194">
      <w:pPr>
        <w:contextualSpacing/>
        <w:rPr>
          <w:rFonts w:cs="Times New Roman"/>
          <w:i/>
        </w:rPr>
      </w:pPr>
    </w:p>
    <w:p w:rsidR="00F5524E" w:rsidRPr="001B5194" w:rsidRDefault="00F5524E" w:rsidP="001B5194">
      <w:pPr>
        <w:contextualSpacing/>
        <w:rPr>
          <w:rFonts w:cs="Times New Roman"/>
        </w:rPr>
      </w:pPr>
      <w:r w:rsidRPr="001B5194">
        <w:rPr>
          <w:rFonts w:cs="Times New Roman"/>
          <w:i/>
        </w:rPr>
        <w:t xml:space="preserve">Trident Steel (Pty) Ltd/Dorbyl Ltd case no 89/LM/Oct00 </w:t>
      </w:r>
    </w:p>
    <w:p w:rsidR="00F5524E" w:rsidRPr="001B5194" w:rsidRDefault="00F5524E" w:rsidP="001B5194">
      <w:pPr>
        <w:contextualSpacing/>
        <w:jc w:val="both"/>
        <w:rPr>
          <w:rFonts w:cs="Times New Roman"/>
        </w:rPr>
      </w:pPr>
    </w:p>
    <w:p w:rsidR="00F5524E" w:rsidRPr="001B5194" w:rsidRDefault="006422F8" w:rsidP="001B5194">
      <w:pPr>
        <w:contextualSpacing/>
        <w:jc w:val="both"/>
        <w:rPr>
          <w:rFonts w:cs="Times New Roman"/>
        </w:rPr>
      </w:pPr>
      <w:r>
        <w:rPr>
          <w:rFonts w:cs="Times New Roman"/>
        </w:rPr>
        <w:t>Van Heerden HJO</w:t>
      </w:r>
      <w:r w:rsidR="00F5524E" w:rsidRPr="001B5194">
        <w:rPr>
          <w:rFonts w:cs="Times New Roman"/>
        </w:rPr>
        <w:t xml:space="preserve"> and Neethling</w:t>
      </w:r>
      <w:r>
        <w:rPr>
          <w:rFonts w:cs="Times New Roman"/>
        </w:rPr>
        <w:t xml:space="preserve"> J</w:t>
      </w:r>
    </w:p>
    <w:p w:rsidR="00F5524E" w:rsidRPr="001B5194" w:rsidRDefault="00F5524E" w:rsidP="001B5194">
      <w:pPr>
        <w:contextualSpacing/>
        <w:jc w:val="both"/>
        <w:rPr>
          <w:rFonts w:cs="Times New Roman"/>
        </w:rPr>
      </w:pPr>
      <w:r w:rsidRPr="001B5194">
        <w:rPr>
          <w:rFonts w:cs="Times New Roman"/>
        </w:rPr>
        <w:t xml:space="preserve">1995. </w:t>
      </w:r>
      <w:r w:rsidRPr="001B5194">
        <w:rPr>
          <w:rFonts w:cs="Times New Roman"/>
          <w:i/>
        </w:rPr>
        <w:t>Unlawful Competition</w:t>
      </w:r>
      <w:r w:rsidRPr="001B5194">
        <w:rPr>
          <w:rFonts w:cs="Times New Roman"/>
        </w:rPr>
        <w:t>. 1</w:t>
      </w:r>
      <w:r w:rsidRPr="001B5194">
        <w:rPr>
          <w:rFonts w:cs="Times New Roman"/>
          <w:vertAlign w:val="superscript"/>
        </w:rPr>
        <w:t>st</w:t>
      </w:r>
      <w:r w:rsidRPr="001B5194">
        <w:rPr>
          <w:rFonts w:cs="Times New Roman"/>
        </w:rPr>
        <w:t xml:space="preserve"> ed. Durban: LexisNexis Butterworths.</w:t>
      </w:r>
    </w:p>
    <w:p w:rsidR="00F5524E" w:rsidRPr="001B5194" w:rsidRDefault="00F5524E" w:rsidP="001B5194">
      <w:pPr>
        <w:contextualSpacing/>
        <w:jc w:val="both"/>
        <w:rPr>
          <w:rFonts w:cs="Times New Roman"/>
        </w:rPr>
      </w:pPr>
    </w:p>
    <w:p w:rsidR="00F5524E" w:rsidRPr="001B5194" w:rsidRDefault="00F5524E" w:rsidP="001B5194">
      <w:pPr>
        <w:contextualSpacing/>
        <w:rPr>
          <w:rFonts w:cs="Times New Roman"/>
        </w:rPr>
      </w:pPr>
      <w:r w:rsidRPr="001B5194">
        <w:rPr>
          <w:rFonts w:cs="Times New Roman"/>
        </w:rPr>
        <w:t>Williamson OE</w:t>
      </w:r>
    </w:p>
    <w:p w:rsidR="00F5524E" w:rsidRPr="001B5194" w:rsidRDefault="00F5524E" w:rsidP="001B5194">
      <w:pPr>
        <w:contextualSpacing/>
        <w:rPr>
          <w:rFonts w:cs="Times New Roman"/>
        </w:rPr>
      </w:pPr>
      <w:r w:rsidRPr="001B5194">
        <w:rPr>
          <w:rFonts w:cs="Times New Roman"/>
        </w:rPr>
        <w:t xml:space="preserve">1968. Economies as an Antitrust Defence: The Welfare Tradeoffs. </w:t>
      </w:r>
      <w:r w:rsidRPr="001B5194">
        <w:rPr>
          <w:rFonts w:cs="Times New Roman"/>
          <w:i/>
        </w:rPr>
        <w:t>The American Economic Review</w:t>
      </w:r>
      <w:r w:rsidRPr="001B5194">
        <w:rPr>
          <w:rFonts w:cs="Times New Roman"/>
        </w:rPr>
        <w:t xml:space="preserve"> 58(1):18-36.</w:t>
      </w:r>
    </w:p>
    <w:p w:rsidR="0079546F" w:rsidRPr="000640FD" w:rsidRDefault="0079546F" w:rsidP="000640FD">
      <w:pPr>
        <w:contextualSpacing/>
        <w:rPr>
          <w:rFonts w:cs="Times New Roman"/>
        </w:rPr>
      </w:pPr>
    </w:p>
    <w:p w:rsidR="00F5524E" w:rsidRPr="000640FD" w:rsidRDefault="00F5524E" w:rsidP="000640FD">
      <w:pPr>
        <w:contextualSpacing/>
        <w:rPr>
          <w:rFonts w:cs="Times New Roman"/>
        </w:rPr>
      </w:pPr>
    </w:p>
    <w:p w:rsidR="00F5524E" w:rsidRPr="000640FD" w:rsidRDefault="00F5524E" w:rsidP="000640FD">
      <w:pPr>
        <w:contextualSpacing/>
        <w:rPr>
          <w:rFonts w:cs="Times New Roman"/>
        </w:rPr>
      </w:pPr>
    </w:p>
    <w:p w:rsidR="00F5524E" w:rsidRPr="000640FD" w:rsidRDefault="00F5524E" w:rsidP="000640FD">
      <w:pPr>
        <w:contextualSpacing/>
        <w:rPr>
          <w:rFonts w:cs="Times New Roman"/>
        </w:rPr>
      </w:pPr>
    </w:p>
    <w:p w:rsidR="005E77F2" w:rsidRDefault="005E77F2" w:rsidP="000640FD">
      <w:pPr>
        <w:contextualSpacing/>
        <w:jc w:val="center"/>
        <w:rPr>
          <w:rFonts w:cs="Times New Roman"/>
          <w:b/>
        </w:rPr>
      </w:pPr>
    </w:p>
    <w:p w:rsidR="005E77F2" w:rsidRDefault="005E77F2" w:rsidP="000640FD">
      <w:pPr>
        <w:contextualSpacing/>
        <w:jc w:val="center"/>
        <w:rPr>
          <w:rFonts w:cs="Times New Roman"/>
          <w:b/>
        </w:rPr>
      </w:pPr>
    </w:p>
    <w:p w:rsidR="005E77F2" w:rsidRDefault="005E77F2" w:rsidP="000640FD">
      <w:pPr>
        <w:contextualSpacing/>
        <w:jc w:val="center"/>
        <w:rPr>
          <w:rFonts w:cs="Times New Roman"/>
          <w:b/>
        </w:rPr>
      </w:pPr>
    </w:p>
    <w:p w:rsidR="005E77F2" w:rsidRDefault="005E77F2" w:rsidP="000640FD">
      <w:pPr>
        <w:contextualSpacing/>
        <w:jc w:val="center"/>
        <w:rPr>
          <w:rFonts w:cs="Times New Roman"/>
          <w:b/>
        </w:rPr>
      </w:pPr>
    </w:p>
    <w:p w:rsidR="005E77F2" w:rsidRDefault="005E77F2" w:rsidP="000640FD">
      <w:pPr>
        <w:contextualSpacing/>
        <w:jc w:val="center"/>
        <w:rPr>
          <w:rFonts w:cs="Times New Roman"/>
          <w:b/>
        </w:rPr>
      </w:pPr>
    </w:p>
    <w:p w:rsidR="005E77F2" w:rsidRDefault="005E77F2" w:rsidP="000640FD">
      <w:pPr>
        <w:contextualSpacing/>
        <w:jc w:val="center"/>
        <w:rPr>
          <w:rFonts w:cs="Times New Roman"/>
          <w:b/>
        </w:rPr>
      </w:pPr>
    </w:p>
    <w:p w:rsidR="005E77F2" w:rsidRDefault="005E77F2" w:rsidP="000640FD">
      <w:pPr>
        <w:contextualSpacing/>
        <w:jc w:val="center"/>
        <w:rPr>
          <w:rFonts w:cs="Times New Roman"/>
          <w:b/>
        </w:rPr>
      </w:pPr>
    </w:p>
    <w:p w:rsidR="00122F54" w:rsidRDefault="00122F54" w:rsidP="000640FD">
      <w:pPr>
        <w:contextualSpacing/>
        <w:jc w:val="center"/>
        <w:rPr>
          <w:rFonts w:cs="Times New Roman"/>
          <w:b/>
        </w:rPr>
      </w:pPr>
    </w:p>
    <w:p w:rsidR="00122F54" w:rsidRDefault="00122F54" w:rsidP="000640FD">
      <w:pPr>
        <w:contextualSpacing/>
        <w:jc w:val="center"/>
        <w:rPr>
          <w:rFonts w:cs="Times New Roman"/>
          <w:b/>
        </w:rPr>
      </w:pPr>
    </w:p>
    <w:p w:rsidR="0079546F" w:rsidRPr="000640FD" w:rsidRDefault="0079546F" w:rsidP="000640FD">
      <w:pPr>
        <w:contextualSpacing/>
        <w:jc w:val="center"/>
        <w:rPr>
          <w:rFonts w:cs="Times New Roman"/>
          <w:b/>
        </w:rPr>
      </w:pPr>
      <w:r w:rsidRPr="000640FD">
        <w:rPr>
          <w:rFonts w:cs="Times New Roman"/>
          <w:b/>
        </w:rPr>
        <w:lastRenderedPageBreak/>
        <w:t>Appendix 1</w:t>
      </w:r>
    </w:p>
    <w:p w:rsidR="00A25636" w:rsidRPr="000640FD" w:rsidRDefault="00A25636" w:rsidP="000640FD">
      <w:pPr>
        <w:contextualSpacing/>
        <w:jc w:val="both"/>
        <w:rPr>
          <w:rFonts w:cs="Times New Roman"/>
          <w:i/>
          <w:u w:val="single"/>
        </w:rPr>
      </w:pPr>
    </w:p>
    <w:p w:rsidR="0079546F" w:rsidRPr="000640FD" w:rsidRDefault="0079546F" w:rsidP="000640FD">
      <w:pPr>
        <w:contextualSpacing/>
        <w:jc w:val="both"/>
        <w:rPr>
          <w:rFonts w:cs="Times New Roman"/>
          <w:i/>
          <w:u w:val="single"/>
        </w:rPr>
      </w:pPr>
      <w:r w:rsidRPr="000640FD">
        <w:rPr>
          <w:rFonts w:cs="Times New Roman"/>
          <w:i/>
          <w:u w:val="single"/>
        </w:rPr>
        <w:t>Chapter 1: Introduction.</w:t>
      </w:r>
    </w:p>
    <w:p w:rsidR="0079546F" w:rsidRPr="000640FD" w:rsidRDefault="0079546F" w:rsidP="000640FD">
      <w:pPr>
        <w:contextualSpacing/>
        <w:jc w:val="both"/>
        <w:rPr>
          <w:rFonts w:cs="Times New Roman"/>
        </w:rPr>
      </w:pPr>
      <w:r w:rsidRPr="000640FD">
        <w:rPr>
          <w:rFonts w:cs="Times New Roman"/>
        </w:rPr>
        <w:t>This chapter will contain 3 sections. Section 1 will contain the problem statement of this study. Section 2 will explain the purpose and practical reasons for this study and section 3 will specify scope of this study.</w:t>
      </w:r>
    </w:p>
    <w:p w:rsidR="0079546F" w:rsidRPr="000640FD" w:rsidRDefault="0079546F" w:rsidP="000640FD">
      <w:pPr>
        <w:contextualSpacing/>
        <w:jc w:val="both"/>
        <w:rPr>
          <w:rFonts w:cs="Times New Roman"/>
          <w:i/>
          <w:u w:val="single"/>
        </w:rPr>
      </w:pPr>
    </w:p>
    <w:p w:rsidR="0079546F" w:rsidRPr="000640FD" w:rsidRDefault="0079546F" w:rsidP="000640FD">
      <w:pPr>
        <w:contextualSpacing/>
        <w:jc w:val="both"/>
        <w:rPr>
          <w:rFonts w:cs="Times New Roman"/>
          <w:i/>
          <w:u w:val="single"/>
        </w:rPr>
      </w:pPr>
      <w:r w:rsidRPr="000640FD">
        <w:rPr>
          <w:rFonts w:cs="Times New Roman"/>
          <w:i/>
          <w:u w:val="single"/>
        </w:rPr>
        <w:t>Chapter 2: The Historical development and underlying principles of the South African Competition Act.</w:t>
      </w:r>
      <w:r w:rsidRPr="000640FD">
        <w:rPr>
          <w:rStyle w:val="FootnoteReference"/>
          <w:rFonts w:cs="Times New Roman"/>
          <w:i/>
          <w:u w:val="single"/>
        </w:rPr>
        <w:footnoteReference w:id="43"/>
      </w:r>
    </w:p>
    <w:p w:rsidR="0079546F" w:rsidRPr="000640FD" w:rsidRDefault="0079546F" w:rsidP="000640FD">
      <w:pPr>
        <w:contextualSpacing/>
        <w:jc w:val="both"/>
        <w:rPr>
          <w:rFonts w:cs="Times New Roman"/>
        </w:rPr>
      </w:pPr>
      <w:r w:rsidRPr="000640FD">
        <w:rPr>
          <w:rFonts w:cs="Times New Roman"/>
          <w:lang w:eastAsia="en-GB" w:bidi="en-GB"/>
        </w:rPr>
        <w:t>This chapter will consist of 3 sections. Section 1 will contain a b</w:t>
      </w:r>
      <w:r w:rsidRPr="000640FD">
        <w:rPr>
          <w:rFonts w:cs="Times New Roman"/>
        </w:rPr>
        <w:t>rief discussion on the historical development of the South African Competition Act.</w:t>
      </w:r>
      <w:r w:rsidRPr="000640FD">
        <w:rPr>
          <w:rStyle w:val="FootnoteReference"/>
          <w:rFonts w:cs="Times New Roman"/>
        </w:rPr>
        <w:footnoteReference w:id="44"/>
      </w:r>
      <w:r w:rsidRPr="000640FD">
        <w:rPr>
          <w:rFonts w:cs="Times New Roman"/>
        </w:rPr>
        <w:t xml:space="preserve"> Section 2 will contain an exposition on the purpose of the South African Competition Act</w:t>
      </w:r>
      <w:r w:rsidRPr="000640FD">
        <w:rPr>
          <w:rStyle w:val="FootnoteReference"/>
          <w:rFonts w:cs="Times New Roman"/>
        </w:rPr>
        <w:footnoteReference w:id="45"/>
      </w:r>
      <w:r w:rsidRPr="000640FD">
        <w:rPr>
          <w:rFonts w:cs="Times New Roman"/>
        </w:rPr>
        <w:t xml:space="preserve">  and section 3 will conclude this chapter with an exposition on the relevant micro-economic principles that underlie the South African Competition Act.</w:t>
      </w:r>
      <w:r w:rsidRPr="000640FD">
        <w:rPr>
          <w:rStyle w:val="FootnoteReference"/>
          <w:rFonts w:cs="Times New Roman"/>
        </w:rPr>
        <w:footnoteReference w:id="46"/>
      </w:r>
      <w:r w:rsidRPr="000640FD">
        <w:rPr>
          <w:rFonts w:cs="Times New Roman"/>
        </w:rPr>
        <w:t xml:space="preserve"> </w:t>
      </w:r>
    </w:p>
    <w:p w:rsidR="0079546F" w:rsidRPr="000640FD" w:rsidRDefault="0079546F" w:rsidP="000640FD">
      <w:pPr>
        <w:contextualSpacing/>
        <w:jc w:val="both"/>
        <w:rPr>
          <w:rFonts w:cs="Times New Roman"/>
        </w:rPr>
      </w:pPr>
    </w:p>
    <w:p w:rsidR="0079546F" w:rsidRPr="000640FD" w:rsidRDefault="0079546F" w:rsidP="000640FD">
      <w:pPr>
        <w:contextualSpacing/>
        <w:jc w:val="both"/>
        <w:rPr>
          <w:rFonts w:cs="Times New Roman"/>
          <w:i/>
          <w:u w:val="single"/>
        </w:rPr>
      </w:pPr>
      <w:r w:rsidRPr="000640FD">
        <w:rPr>
          <w:rFonts w:cs="Times New Roman"/>
          <w:bCs/>
          <w:i/>
          <w:u w:val="single"/>
          <w:lang w:eastAsia="en-GB" w:bidi="en-GB"/>
        </w:rPr>
        <w:t>Chapter 3: The South African Competition Act.</w:t>
      </w:r>
      <w:r w:rsidRPr="000640FD">
        <w:rPr>
          <w:rStyle w:val="FootnoteReference"/>
          <w:rFonts w:cs="Times New Roman"/>
          <w:bCs/>
          <w:i/>
          <w:u w:val="single"/>
          <w:lang w:eastAsia="en-GB" w:bidi="en-GB"/>
        </w:rPr>
        <w:footnoteReference w:id="47"/>
      </w:r>
    </w:p>
    <w:p w:rsidR="0079546F" w:rsidRPr="000640FD" w:rsidRDefault="00B67364" w:rsidP="000640FD">
      <w:pPr>
        <w:contextualSpacing/>
        <w:jc w:val="both"/>
        <w:rPr>
          <w:rFonts w:cs="Times New Roman"/>
          <w:lang w:eastAsia="en-GB" w:bidi="en-GB"/>
        </w:rPr>
      </w:pPr>
      <w:r w:rsidRPr="000640FD">
        <w:rPr>
          <w:rFonts w:cs="Times New Roman"/>
          <w:lang w:eastAsia="en-GB" w:bidi="en-GB"/>
        </w:rPr>
        <w:t>This chapter will consist of 5</w:t>
      </w:r>
      <w:r w:rsidR="0079546F" w:rsidRPr="000640FD">
        <w:rPr>
          <w:rFonts w:cs="Times New Roman"/>
          <w:lang w:eastAsia="en-GB" w:bidi="en-GB"/>
        </w:rPr>
        <w:t xml:space="preserve"> sections. In Section 1, the efficiency defence</w:t>
      </w:r>
      <w:r w:rsidR="0079546F" w:rsidRPr="000640FD">
        <w:rPr>
          <w:rStyle w:val="FootnoteReference"/>
          <w:rFonts w:cs="Times New Roman"/>
          <w:lang w:eastAsia="en-GB" w:bidi="en-GB"/>
        </w:rPr>
        <w:footnoteReference w:id="48"/>
      </w:r>
      <w:r w:rsidR="0079546F" w:rsidRPr="000640FD">
        <w:rPr>
          <w:rFonts w:cs="Times New Roman"/>
          <w:lang w:eastAsia="en-GB" w:bidi="en-GB"/>
        </w:rPr>
        <w:t xml:space="preserve"> will be defined and the need for considering efficiencies, technological and other pro competitive gains in competition</w:t>
      </w:r>
      <w:r w:rsidR="0079546F" w:rsidRPr="000640FD">
        <w:rPr>
          <w:rStyle w:val="FootnoteReference"/>
          <w:rFonts w:cs="Times New Roman"/>
          <w:lang w:eastAsia="en-GB" w:bidi="en-GB"/>
        </w:rPr>
        <w:footnoteReference w:id="49"/>
      </w:r>
      <w:r w:rsidR="0079546F" w:rsidRPr="000640FD">
        <w:rPr>
          <w:rFonts w:cs="Times New Roman"/>
          <w:lang w:eastAsia="en-GB" w:bidi="en-GB"/>
        </w:rPr>
        <w:t xml:space="preserve"> matters will be explained. </w:t>
      </w:r>
    </w:p>
    <w:p w:rsidR="0079546F" w:rsidRPr="000640FD" w:rsidRDefault="0079546F" w:rsidP="000640FD">
      <w:pPr>
        <w:contextualSpacing/>
        <w:jc w:val="both"/>
        <w:rPr>
          <w:rFonts w:cs="Times New Roman"/>
          <w:lang w:eastAsia="en-GB" w:bidi="en-GB"/>
        </w:rPr>
      </w:pPr>
    </w:p>
    <w:p w:rsidR="0079546F" w:rsidRPr="000640FD" w:rsidRDefault="0079546F" w:rsidP="000640FD">
      <w:pPr>
        <w:contextualSpacing/>
        <w:jc w:val="both"/>
        <w:rPr>
          <w:rFonts w:cs="Times New Roman"/>
          <w:lang w:eastAsia="en-GB" w:bidi="en-GB"/>
        </w:rPr>
      </w:pPr>
      <w:r w:rsidRPr="000640FD">
        <w:rPr>
          <w:rFonts w:cs="Times New Roman"/>
          <w:lang w:eastAsia="en-GB" w:bidi="en-GB"/>
        </w:rPr>
        <w:t>Section 2 will consider the existence of an efficiency defence in the South African Competition Act</w:t>
      </w:r>
      <w:r w:rsidRPr="000640FD">
        <w:rPr>
          <w:rStyle w:val="FootnoteReference"/>
          <w:rFonts w:cs="Times New Roman"/>
          <w:lang w:eastAsia="en-GB" w:bidi="en-GB"/>
        </w:rPr>
        <w:footnoteReference w:id="50"/>
      </w:r>
      <w:r w:rsidRPr="000640FD">
        <w:rPr>
          <w:rFonts w:cs="Times New Roman"/>
          <w:lang w:eastAsia="en-GB" w:bidi="en-GB"/>
        </w:rPr>
        <w:t xml:space="preserve"> and if such a defence does exist, the circumstances in which it can be raised as a valid defence. Moreover, section 2 will also determine which party carries the burden of proof of the efficiency defence in terms of the South African Competition Act.</w:t>
      </w:r>
      <w:r w:rsidRPr="000640FD">
        <w:rPr>
          <w:rStyle w:val="FootnoteReference"/>
          <w:rFonts w:cs="Times New Roman"/>
          <w:lang w:eastAsia="en-GB" w:bidi="en-GB"/>
        </w:rPr>
        <w:footnoteReference w:id="51"/>
      </w:r>
      <w:r w:rsidRPr="000640FD">
        <w:rPr>
          <w:rFonts w:cs="Times New Roman"/>
          <w:lang w:eastAsia="en-GB" w:bidi="en-GB"/>
        </w:rPr>
        <w:t xml:space="preserve"> Lastly, section 2 will briefly define the “failing firm defence” and compare it with the efficiency defence and indicate why it is important not to confuse the failing firm defence with the efficiency defence.</w:t>
      </w:r>
    </w:p>
    <w:p w:rsidR="0079546F" w:rsidRPr="000640FD" w:rsidRDefault="0079546F" w:rsidP="000640FD">
      <w:pPr>
        <w:contextualSpacing/>
        <w:jc w:val="both"/>
        <w:rPr>
          <w:rFonts w:cs="Times New Roman"/>
          <w:lang w:eastAsia="en-GB" w:bidi="en-GB"/>
        </w:rPr>
      </w:pPr>
    </w:p>
    <w:p w:rsidR="0079546F" w:rsidRPr="000640FD" w:rsidRDefault="0079546F" w:rsidP="000640FD">
      <w:pPr>
        <w:contextualSpacing/>
        <w:jc w:val="both"/>
        <w:rPr>
          <w:rFonts w:cs="Times New Roman"/>
          <w:lang w:eastAsia="en-GB" w:bidi="en-GB"/>
        </w:rPr>
      </w:pPr>
      <w:r w:rsidRPr="000640FD">
        <w:rPr>
          <w:rFonts w:cs="Times New Roman"/>
          <w:lang w:eastAsia="en-GB" w:bidi="en-GB"/>
        </w:rPr>
        <w:lastRenderedPageBreak/>
        <w:t>Section 3 will then consider the question of when firms will be regarded as competitors of each other. Section 3 will also discuss the different types of competitors that are recognised by the South African competition authorities. In addition to the different types of competitors section 3 will also consider the questions of when a firm will be regarded as dominant, what constitutes complex monopoly conduct and what is regarded as an exclusionary act</w:t>
      </w:r>
      <w:r w:rsidRPr="000640FD">
        <w:rPr>
          <w:rStyle w:val="FootnoteReference"/>
          <w:rFonts w:cs="Times New Roman"/>
          <w:lang w:eastAsia="en-GB" w:bidi="en-GB"/>
        </w:rPr>
        <w:footnoteReference w:id="52"/>
      </w:r>
      <w:r w:rsidRPr="000640FD">
        <w:rPr>
          <w:rFonts w:cs="Times New Roman"/>
          <w:lang w:eastAsia="en-GB" w:bidi="en-GB"/>
        </w:rPr>
        <w:t xml:space="preserve"> in the context of the South African Competition Act?</w:t>
      </w:r>
      <w:r w:rsidRPr="000640FD">
        <w:rPr>
          <w:rStyle w:val="FootnoteReference"/>
          <w:rFonts w:cs="Times New Roman"/>
          <w:lang w:eastAsia="en-GB" w:bidi="en-GB"/>
        </w:rPr>
        <w:footnoteReference w:id="53"/>
      </w:r>
      <w:r w:rsidRPr="000640FD">
        <w:rPr>
          <w:rFonts w:cs="Times New Roman"/>
          <w:lang w:eastAsia="en-GB" w:bidi="en-GB"/>
        </w:rPr>
        <w:t xml:space="preserve"> To conclude section 3 will define mergers and joint ventures and consider the question of when a joint venture will constitute a merger.</w:t>
      </w:r>
    </w:p>
    <w:p w:rsidR="0079546F" w:rsidRPr="000640FD" w:rsidRDefault="0079546F" w:rsidP="000640FD">
      <w:pPr>
        <w:contextualSpacing/>
        <w:jc w:val="both"/>
        <w:rPr>
          <w:rFonts w:cs="Times New Roman"/>
          <w:lang w:eastAsia="en-GB" w:bidi="en-GB"/>
        </w:rPr>
      </w:pPr>
    </w:p>
    <w:p w:rsidR="0079546F" w:rsidRPr="000640FD" w:rsidRDefault="0079546F" w:rsidP="000640FD">
      <w:pPr>
        <w:contextualSpacing/>
        <w:jc w:val="both"/>
        <w:rPr>
          <w:rFonts w:cs="Times New Roman"/>
          <w:lang w:eastAsia="en-GB" w:bidi="en-GB"/>
        </w:rPr>
      </w:pPr>
      <w:r w:rsidRPr="000640FD">
        <w:rPr>
          <w:rFonts w:cs="Times New Roman"/>
          <w:lang w:eastAsia="en-GB" w:bidi="en-GB"/>
        </w:rPr>
        <w:t>Section 4 will describe how the relevant market is determined in South African competition matters. Section 5 will then conclude this chapter by defining anti-competitive effects</w:t>
      </w:r>
      <w:r w:rsidRPr="000640FD">
        <w:rPr>
          <w:rStyle w:val="FootnoteReference"/>
          <w:rFonts w:cs="Times New Roman"/>
          <w:lang w:eastAsia="en-GB" w:bidi="en-GB"/>
        </w:rPr>
        <w:footnoteReference w:id="54"/>
      </w:r>
      <w:r w:rsidRPr="000640FD">
        <w:rPr>
          <w:rFonts w:cs="Times New Roman"/>
          <w:lang w:eastAsia="en-GB" w:bidi="en-GB"/>
        </w:rPr>
        <w:t xml:space="preserve"> and discussing the measurement thereof in competition matters.  </w:t>
      </w:r>
    </w:p>
    <w:p w:rsidR="0079546F" w:rsidRPr="000640FD" w:rsidRDefault="0079546F" w:rsidP="000640FD">
      <w:pPr>
        <w:contextualSpacing/>
        <w:jc w:val="both"/>
        <w:rPr>
          <w:rFonts w:cs="Times New Roman"/>
        </w:rPr>
      </w:pPr>
    </w:p>
    <w:p w:rsidR="0079546F" w:rsidRPr="000640FD" w:rsidRDefault="0079546F" w:rsidP="000640FD">
      <w:pPr>
        <w:contextualSpacing/>
        <w:jc w:val="both"/>
        <w:rPr>
          <w:rFonts w:cs="Times New Roman"/>
          <w:i/>
          <w:u w:val="single"/>
        </w:rPr>
      </w:pPr>
      <w:r w:rsidRPr="000640FD">
        <w:rPr>
          <w:rFonts w:cs="Times New Roman"/>
          <w:bCs/>
          <w:i/>
          <w:u w:val="single"/>
          <w:lang w:eastAsia="en-GB" w:bidi="en-GB"/>
        </w:rPr>
        <w:t>Chapter 4: The efficiency defence.</w:t>
      </w:r>
      <w:r w:rsidRPr="000640FD">
        <w:rPr>
          <w:rFonts w:cs="Times New Roman"/>
          <w:i/>
          <w:u w:val="single"/>
          <w:lang w:eastAsia="en-GB" w:bidi="en-GB"/>
        </w:rPr>
        <w:t xml:space="preserve"> </w:t>
      </w:r>
    </w:p>
    <w:p w:rsidR="0079546F" w:rsidRPr="000640FD" w:rsidRDefault="0079546F" w:rsidP="000640FD">
      <w:pPr>
        <w:contextualSpacing/>
        <w:jc w:val="both"/>
        <w:rPr>
          <w:rFonts w:cs="Times New Roman"/>
        </w:rPr>
      </w:pPr>
    </w:p>
    <w:p w:rsidR="0079546F" w:rsidRPr="000640FD" w:rsidRDefault="0079546F" w:rsidP="000640FD">
      <w:pPr>
        <w:contextualSpacing/>
        <w:jc w:val="both"/>
        <w:rPr>
          <w:rFonts w:cs="Times New Roman"/>
        </w:rPr>
      </w:pPr>
      <w:r w:rsidRPr="000640FD">
        <w:rPr>
          <w:rFonts w:cs="Times New Roman"/>
        </w:rPr>
        <w:t xml:space="preserve">Chapter 4 will consist of 5 sections. Section 1 will set out the requirements for the efficiency defence in South Africa and how the competition authorities can verify the specific efficiency defence that has been raised. </w:t>
      </w:r>
    </w:p>
    <w:p w:rsidR="0079546F" w:rsidRPr="000640FD" w:rsidRDefault="0079546F" w:rsidP="000640FD">
      <w:pPr>
        <w:contextualSpacing/>
        <w:jc w:val="both"/>
        <w:rPr>
          <w:rFonts w:cs="Times New Roman"/>
        </w:rPr>
      </w:pPr>
    </w:p>
    <w:p w:rsidR="0079546F" w:rsidRPr="000640FD" w:rsidRDefault="0079546F" w:rsidP="000640FD">
      <w:pPr>
        <w:contextualSpacing/>
        <w:jc w:val="both"/>
        <w:rPr>
          <w:rFonts w:cs="Times New Roman"/>
        </w:rPr>
      </w:pPr>
    </w:p>
    <w:p w:rsidR="0079546F" w:rsidRPr="000640FD" w:rsidRDefault="0079546F" w:rsidP="000640FD">
      <w:pPr>
        <w:contextualSpacing/>
        <w:jc w:val="both"/>
        <w:rPr>
          <w:rFonts w:cs="Times New Roman"/>
          <w:lang w:eastAsia="en-GB" w:bidi="en-GB"/>
        </w:rPr>
      </w:pPr>
      <w:r w:rsidRPr="000640FD">
        <w:rPr>
          <w:rFonts w:cs="Times New Roman"/>
        </w:rPr>
        <w:t>Section 2 will consider the efficiencies</w:t>
      </w:r>
      <w:r w:rsidRPr="000640FD">
        <w:rPr>
          <w:rStyle w:val="FootnoteReference"/>
          <w:rFonts w:cs="Times New Roman"/>
        </w:rPr>
        <w:footnoteReference w:id="55"/>
      </w:r>
      <w:r w:rsidRPr="000640FD">
        <w:rPr>
          <w:rFonts w:cs="Times New Roman"/>
        </w:rPr>
        <w:t xml:space="preserve"> recognised by the South </w:t>
      </w:r>
      <w:r w:rsidRPr="000640FD">
        <w:rPr>
          <w:rFonts w:cs="Times New Roman"/>
          <w:lang w:eastAsia="en-GB" w:bidi="en-GB"/>
        </w:rPr>
        <w:t>African competition authorities as so-called real efficiencies</w:t>
      </w:r>
      <w:r w:rsidRPr="000640FD">
        <w:rPr>
          <w:rStyle w:val="FootnoteReference"/>
          <w:rFonts w:cs="Times New Roman"/>
          <w:lang w:eastAsia="en-GB" w:bidi="en-GB"/>
        </w:rPr>
        <w:footnoteReference w:id="56"/>
      </w:r>
      <w:r w:rsidRPr="000640FD">
        <w:rPr>
          <w:rFonts w:cs="Times New Roman"/>
          <w:lang w:eastAsia="en-GB" w:bidi="en-GB"/>
        </w:rPr>
        <w:t xml:space="preserve"> and the reason for their recognition. In addition to the South African position, section 2 will also examine the types of efficiencies recognised by the competition authorities of the United States of America, Canada, and the European Union. Section 2 will then compare these results</w:t>
      </w:r>
      <w:r w:rsidRPr="000640FD">
        <w:rPr>
          <w:rStyle w:val="FootnoteReference"/>
          <w:rFonts w:cs="Times New Roman"/>
          <w:lang w:eastAsia="en-GB" w:bidi="en-GB"/>
        </w:rPr>
        <w:footnoteReference w:id="57"/>
      </w:r>
      <w:r w:rsidRPr="000640FD">
        <w:rPr>
          <w:rFonts w:cs="Times New Roman"/>
          <w:lang w:eastAsia="en-GB" w:bidi="en-GB"/>
        </w:rPr>
        <w:t xml:space="preserve"> with the South African position and indicate whether the South African competition authorities should amend its policy on the types of efficiencies they recognise as real efficiencies.</w:t>
      </w:r>
    </w:p>
    <w:p w:rsidR="0079546F" w:rsidRPr="000640FD" w:rsidRDefault="0079546F" w:rsidP="000640FD">
      <w:pPr>
        <w:contextualSpacing/>
        <w:jc w:val="both"/>
        <w:rPr>
          <w:rFonts w:cs="Times New Roman"/>
          <w:lang w:eastAsia="en-GB" w:bidi="en-GB"/>
        </w:rPr>
      </w:pPr>
    </w:p>
    <w:p w:rsidR="0079546F" w:rsidRPr="000640FD" w:rsidRDefault="0079546F" w:rsidP="000640FD">
      <w:pPr>
        <w:contextualSpacing/>
        <w:jc w:val="both"/>
        <w:rPr>
          <w:rFonts w:cs="Times New Roman"/>
          <w:lang w:eastAsia="en-GB" w:bidi="en-GB"/>
        </w:rPr>
      </w:pPr>
      <w:r w:rsidRPr="000640FD">
        <w:rPr>
          <w:rFonts w:cs="Times New Roman"/>
          <w:lang w:eastAsia="en-GB" w:bidi="en-GB"/>
        </w:rPr>
        <w:lastRenderedPageBreak/>
        <w:t xml:space="preserve">Section 3 </w:t>
      </w:r>
      <w:r w:rsidRPr="000640FD">
        <w:rPr>
          <w:rFonts w:cs="Times New Roman"/>
        </w:rPr>
        <w:t>will then consider the</w:t>
      </w:r>
      <w:r w:rsidRPr="000640FD">
        <w:rPr>
          <w:rFonts w:cs="Times New Roman"/>
          <w:lang w:eastAsia="en-GB" w:bidi="en-GB"/>
        </w:rPr>
        <w:t xml:space="preserve"> technological and pro-competitive gains</w:t>
      </w:r>
      <w:r w:rsidRPr="000640FD">
        <w:rPr>
          <w:rStyle w:val="FootnoteReference"/>
          <w:rFonts w:cs="Times New Roman"/>
          <w:lang w:eastAsia="en-GB" w:bidi="en-GB"/>
        </w:rPr>
        <w:footnoteReference w:id="58"/>
      </w:r>
      <w:r w:rsidRPr="000640FD">
        <w:rPr>
          <w:rFonts w:cs="Times New Roman"/>
        </w:rPr>
        <w:t xml:space="preserve"> recognised by the South </w:t>
      </w:r>
      <w:r w:rsidRPr="000640FD">
        <w:rPr>
          <w:rFonts w:cs="Times New Roman"/>
          <w:lang w:eastAsia="en-GB" w:bidi="en-GB"/>
        </w:rPr>
        <w:t>African competition authorities as valid with regard to the efficiency defence and the reason for their recognition. In addition to the South African position, section 3 will also examine the types of technological and pro-competitive gains recognised by the competition authorities of the United States of America, Canada, and the European Union. Section 3 will then compare these results</w:t>
      </w:r>
      <w:r w:rsidRPr="000640FD">
        <w:rPr>
          <w:rStyle w:val="FootnoteReference"/>
          <w:rFonts w:cs="Times New Roman"/>
          <w:lang w:eastAsia="en-GB" w:bidi="en-GB"/>
        </w:rPr>
        <w:footnoteReference w:id="59"/>
      </w:r>
      <w:r w:rsidRPr="000640FD">
        <w:rPr>
          <w:rFonts w:cs="Times New Roman"/>
          <w:lang w:eastAsia="en-GB" w:bidi="en-GB"/>
        </w:rPr>
        <w:t xml:space="preserve"> with the South African position and indicate whether the South African competition authorities should amend its policy on the types of technological and pro-competitive gains they recognise as valid for the efficiency defence.</w:t>
      </w:r>
    </w:p>
    <w:p w:rsidR="0079546F" w:rsidRPr="000640FD" w:rsidRDefault="0079546F" w:rsidP="000640FD">
      <w:pPr>
        <w:contextualSpacing/>
        <w:jc w:val="both"/>
        <w:rPr>
          <w:rFonts w:cs="Times New Roman"/>
          <w:lang w:eastAsia="en-GB" w:bidi="en-GB"/>
        </w:rPr>
      </w:pPr>
    </w:p>
    <w:p w:rsidR="0079546F" w:rsidRPr="000640FD" w:rsidRDefault="0079546F" w:rsidP="000640FD">
      <w:pPr>
        <w:contextualSpacing/>
        <w:jc w:val="both"/>
        <w:rPr>
          <w:rFonts w:cs="Times New Roman"/>
        </w:rPr>
      </w:pPr>
      <w:r w:rsidRPr="000640FD">
        <w:rPr>
          <w:rFonts w:cs="Times New Roman"/>
        </w:rPr>
        <w:t xml:space="preserve">Section 4 will consider the balancing of the anti-competitive effects against the efficiency defence by the South African competition authorities. Section 3 will then consider they way in which the anti-competitive effects are balanced against the efficiency defence by the competition authorities of the </w:t>
      </w:r>
      <w:r w:rsidRPr="000640FD">
        <w:rPr>
          <w:rFonts w:cs="Times New Roman"/>
          <w:lang w:eastAsia="en-GB" w:bidi="en-GB"/>
        </w:rPr>
        <w:t>United States of America, Canada, and the European Union. Section 4 will then compare these results</w:t>
      </w:r>
      <w:r w:rsidRPr="000640FD">
        <w:rPr>
          <w:rStyle w:val="FootnoteReference"/>
          <w:rFonts w:cs="Times New Roman"/>
          <w:lang w:eastAsia="en-GB" w:bidi="en-GB"/>
        </w:rPr>
        <w:footnoteReference w:id="60"/>
      </w:r>
      <w:r w:rsidRPr="000640FD">
        <w:rPr>
          <w:rFonts w:cs="Times New Roman"/>
          <w:lang w:eastAsia="en-GB" w:bidi="en-GB"/>
        </w:rPr>
        <w:t xml:space="preserve"> with the South African position and indicate whether the South African competition authorities should amend its policy on the balancing of the anti-competitive effects against the efficiency defence.</w:t>
      </w:r>
    </w:p>
    <w:p w:rsidR="0079546F" w:rsidRPr="000640FD" w:rsidRDefault="0079546F" w:rsidP="000640FD">
      <w:pPr>
        <w:contextualSpacing/>
        <w:jc w:val="both"/>
        <w:rPr>
          <w:rFonts w:cs="Times New Roman"/>
          <w:lang w:eastAsia="en-GB" w:bidi="en-GB"/>
        </w:rPr>
      </w:pPr>
    </w:p>
    <w:p w:rsidR="0079546F" w:rsidRPr="000640FD" w:rsidRDefault="0079546F" w:rsidP="000640FD">
      <w:pPr>
        <w:contextualSpacing/>
        <w:jc w:val="both"/>
        <w:rPr>
          <w:rFonts w:cs="Times New Roman"/>
          <w:lang w:eastAsia="en-GB" w:bidi="en-GB"/>
        </w:rPr>
      </w:pPr>
      <w:r w:rsidRPr="000640FD">
        <w:rPr>
          <w:rFonts w:cs="Times New Roman"/>
          <w:lang w:eastAsia="en-GB" w:bidi="en-GB"/>
        </w:rPr>
        <w:t>Lastly, section 5 will consider in whose favour the South African competition authorities should interpret and implement the efficiency defence.</w:t>
      </w:r>
      <w:r w:rsidRPr="000640FD">
        <w:rPr>
          <w:rStyle w:val="FootnoteReference"/>
          <w:rFonts w:cs="Times New Roman"/>
          <w:lang w:eastAsia="en-GB" w:bidi="en-GB"/>
        </w:rPr>
        <w:footnoteReference w:id="61"/>
      </w:r>
      <w:r w:rsidRPr="000640FD">
        <w:rPr>
          <w:rFonts w:cs="Times New Roman"/>
          <w:lang w:eastAsia="en-GB" w:bidi="en-GB"/>
        </w:rPr>
        <w:t xml:space="preserve"> Section 5 will then consider in whose favour the competition authorities of </w:t>
      </w:r>
      <w:r w:rsidRPr="000640FD">
        <w:rPr>
          <w:rFonts w:cs="Times New Roman"/>
        </w:rPr>
        <w:t xml:space="preserve">the </w:t>
      </w:r>
      <w:r w:rsidRPr="000640FD">
        <w:rPr>
          <w:rFonts w:cs="Times New Roman"/>
          <w:lang w:eastAsia="en-GB" w:bidi="en-GB"/>
        </w:rPr>
        <w:t>United States of America, Canada, and the European Union interpret and implement the efficiency defence. Section 5 will then compare these results</w:t>
      </w:r>
      <w:r w:rsidRPr="000640FD">
        <w:rPr>
          <w:rStyle w:val="FootnoteReference"/>
          <w:rFonts w:cs="Times New Roman"/>
          <w:lang w:eastAsia="en-GB" w:bidi="en-GB"/>
        </w:rPr>
        <w:footnoteReference w:id="62"/>
      </w:r>
      <w:r w:rsidRPr="000640FD">
        <w:rPr>
          <w:rFonts w:cs="Times New Roman"/>
          <w:lang w:eastAsia="en-GB" w:bidi="en-GB"/>
        </w:rPr>
        <w:t xml:space="preserve"> with the South African position and indicate whether the South African competition authorities should and are allowed</w:t>
      </w:r>
      <w:r w:rsidRPr="000640FD">
        <w:rPr>
          <w:rStyle w:val="FootnoteReference"/>
          <w:rFonts w:cs="Times New Roman"/>
          <w:lang w:eastAsia="en-GB" w:bidi="en-GB"/>
        </w:rPr>
        <w:footnoteReference w:id="63"/>
      </w:r>
      <w:r w:rsidRPr="000640FD">
        <w:rPr>
          <w:rFonts w:cs="Times New Roman"/>
          <w:lang w:eastAsia="en-GB" w:bidi="en-GB"/>
        </w:rPr>
        <w:t xml:space="preserve"> to amend its policy on the interpretation and implementation of the efficiency defence with regard to whom it favours.</w:t>
      </w:r>
    </w:p>
    <w:p w:rsidR="0079546F" w:rsidRPr="000640FD" w:rsidRDefault="0079546F" w:rsidP="000640FD">
      <w:pPr>
        <w:contextualSpacing/>
        <w:jc w:val="both"/>
        <w:rPr>
          <w:rFonts w:cs="Times New Roman"/>
          <w:lang w:eastAsia="en-GB" w:bidi="en-GB"/>
        </w:rPr>
      </w:pPr>
    </w:p>
    <w:p w:rsidR="00175C51" w:rsidRDefault="00175C51" w:rsidP="000640FD">
      <w:pPr>
        <w:contextualSpacing/>
        <w:jc w:val="both"/>
        <w:rPr>
          <w:rFonts w:cs="Times New Roman"/>
          <w:bCs/>
          <w:i/>
          <w:u w:val="single"/>
          <w:lang w:eastAsia="en-GB" w:bidi="en-GB"/>
        </w:rPr>
      </w:pPr>
    </w:p>
    <w:p w:rsidR="00175C51" w:rsidRDefault="00175C51" w:rsidP="000640FD">
      <w:pPr>
        <w:contextualSpacing/>
        <w:jc w:val="both"/>
        <w:rPr>
          <w:rFonts w:cs="Times New Roman"/>
          <w:bCs/>
          <w:i/>
          <w:u w:val="single"/>
          <w:lang w:eastAsia="en-GB" w:bidi="en-GB"/>
        </w:rPr>
      </w:pPr>
    </w:p>
    <w:p w:rsidR="00175C51" w:rsidRDefault="00175C51" w:rsidP="000640FD">
      <w:pPr>
        <w:contextualSpacing/>
        <w:jc w:val="both"/>
        <w:rPr>
          <w:rFonts w:cs="Times New Roman"/>
          <w:bCs/>
          <w:i/>
          <w:u w:val="single"/>
          <w:lang w:eastAsia="en-GB" w:bidi="en-GB"/>
        </w:rPr>
      </w:pPr>
    </w:p>
    <w:p w:rsidR="0079546F" w:rsidRPr="000640FD" w:rsidRDefault="0079546F" w:rsidP="000640FD">
      <w:pPr>
        <w:contextualSpacing/>
        <w:jc w:val="both"/>
        <w:rPr>
          <w:rFonts w:cs="Times New Roman"/>
          <w:i/>
          <w:u w:val="single"/>
        </w:rPr>
      </w:pPr>
      <w:r w:rsidRPr="000640FD">
        <w:rPr>
          <w:rFonts w:cs="Times New Roman"/>
          <w:bCs/>
          <w:i/>
          <w:u w:val="single"/>
          <w:lang w:eastAsia="en-GB" w:bidi="en-GB"/>
        </w:rPr>
        <w:lastRenderedPageBreak/>
        <w:t>Chapter 5: Other policy considerations.</w:t>
      </w:r>
    </w:p>
    <w:p w:rsidR="0079546F" w:rsidRPr="000640FD" w:rsidRDefault="0079546F" w:rsidP="000640FD">
      <w:pPr>
        <w:contextualSpacing/>
        <w:jc w:val="both"/>
        <w:rPr>
          <w:rFonts w:cs="Times New Roman"/>
        </w:rPr>
      </w:pPr>
    </w:p>
    <w:p w:rsidR="0079546F" w:rsidRPr="000640FD" w:rsidRDefault="0079546F" w:rsidP="000640FD">
      <w:pPr>
        <w:contextualSpacing/>
        <w:jc w:val="both"/>
        <w:rPr>
          <w:rFonts w:cs="Times New Roman"/>
          <w:lang w:eastAsia="en-GB" w:bidi="en-GB"/>
        </w:rPr>
      </w:pPr>
      <w:r w:rsidRPr="000640FD">
        <w:rPr>
          <w:rFonts w:cs="Times New Roman"/>
          <w:lang w:eastAsia="en-GB" w:bidi="en-GB"/>
        </w:rPr>
        <w:t xml:space="preserve">This chapter will consist of 2 sections. Section 1 will consider whether the competition laws in the United States of America, </w:t>
      </w:r>
      <w:r w:rsidRPr="000640FD">
        <w:rPr>
          <w:rFonts w:cs="Times New Roman"/>
        </w:rPr>
        <w:t>Canada</w:t>
      </w:r>
      <w:r w:rsidRPr="000640FD">
        <w:rPr>
          <w:rFonts w:cs="Times New Roman"/>
          <w:lang w:eastAsia="en-GB" w:bidi="en-GB"/>
        </w:rPr>
        <w:t xml:space="preserve"> and the European Union contain any efficiency defences.</w:t>
      </w:r>
      <w:r w:rsidRPr="000640FD">
        <w:rPr>
          <w:rStyle w:val="FootnoteReference"/>
          <w:rFonts w:cs="Times New Roman"/>
          <w:lang w:eastAsia="en-GB" w:bidi="en-GB"/>
        </w:rPr>
        <w:footnoteReference w:id="64"/>
      </w:r>
      <w:r w:rsidRPr="000640FD">
        <w:rPr>
          <w:rFonts w:cs="Times New Roman"/>
          <w:lang w:eastAsia="en-GB" w:bidi="en-GB"/>
        </w:rPr>
        <w:t xml:space="preserve"> This section will then consider the advantages and disadvantages of having an efficiency defence and whether South Africa should indeed have an efficiency defence.</w:t>
      </w:r>
      <w:r w:rsidRPr="000640FD">
        <w:rPr>
          <w:rStyle w:val="FootnoteReference"/>
          <w:rFonts w:cs="Times New Roman"/>
          <w:lang w:eastAsia="en-GB" w:bidi="en-GB"/>
        </w:rPr>
        <w:footnoteReference w:id="65"/>
      </w:r>
      <w:r w:rsidRPr="000640FD">
        <w:rPr>
          <w:rFonts w:cs="Times New Roman"/>
          <w:lang w:eastAsia="en-GB" w:bidi="en-GB"/>
        </w:rPr>
        <w:t xml:space="preserve">  </w:t>
      </w:r>
    </w:p>
    <w:p w:rsidR="0079546F" w:rsidRPr="000640FD" w:rsidRDefault="0079546F" w:rsidP="000640FD">
      <w:pPr>
        <w:contextualSpacing/>
        <w:jc w:val="both"/>
        <w:rPr>
          <w:rFonts w:cs="Times New Roman"/>
          <w:lang w:eastAsia="en-GB" w:bidi="en-GB"/>
        </w:rPr>
      </w:pPr>
    </w:p>
    <w:p w:rsidR="0079546F" w:rsidRDefault="0079546F" w:rsidP="000640FD">
      <w:pPr>
        <w:contextualSpacing/>
        <w:jc w:val="both"/>
        <w:rPr>
          <w:rFonts w:cs="Times New Roman"/>
          <w:lang w:eastAsia="en-GB" w:bidi="en-GB"/>
        </w:rPr>
      </w:pPr>
      <w:r w:rsidRPr="000640FD">
        <w:rPr>
          <w:rFonts w:cs="Times New Roman"/>
          <w:lang w:eastAsia="en-GB" w:bidi="en-GB"/>
        </w:rPr>
        <w:t>Lastly, section 2 will consider whether the public interest defence</w:t>
      </w:r>
      <w:r w:rsidRPr="000640FD">
        <w:rPr>
          <w:rStyle w:val="FootnoteReference"/>
          <w:rFonts w:cs="Times New Roman"/>
          <w:lang w:eastAsia="en-GB" w:bidi="en-GB"/>
        </w:rPr>
        <w:footnoteReference w:id="66"/>
      </w:r>
      <w:r w:rsidRPr="000640FD">
        <w:rPr>
          <w:rFonts w:cs="Times New Roman"/>
          <w:lang w:eastAsia="en-GB" w:bidi="en-GB"/>
        </w:rPr>
        <w:t xml:space="preserve"> facilitates or hinders the realization of the purpose of the Competition Act.</w:t>
      </w:r>
      <w:r w:rsidRPr="000640FD">
        <w:rPr>
          <w:rStyle w:val="FootnoteReference"/>
          <w:rFonts w:cs="Times New Roman"/>
          <w:lang w:eastAsia="en-GB" w:bidi="en-GB"/>
        </w:rPr>
        <w:footnoteReference w:id="67"/>
      </w:r>
      <w:r w:rsidRPr="000640FD">
        <w:rPr>
          <w:rFonts w:cs="Times New Roman"/>
          <w:lang w:eastAsia="en-GB" w:bidi="en-GB"/>
        </w:rPr>
        <w:t xml:space="preserve"> Section 2 will also consider whether the public interest defence could potentially nullify the purpose and effect of the efficiency defence.  </w:t>
      </w:r>
    </w:p>
    <w:p w:rsidR="0055550E" w:rsidRDefault="0055550E" w:rsidP="000640FD">
      <w:pPr>
        <w:contextualSpacing/>
        <w:jc w:val="both"/>
        <w:rPr>
          <w:rFonts w:cs="Times New Roman"/>
          <w:lang w:eastAsia="en-GB" w:bidi="en-GB"/>
        </w:rPr>
      </w:pPr>
    </w:p>
    <w:p w:rsidR="0055550E" w:rsidRDefault="0055550E" w:rsidP="000640FD">
      <w:pPr>
        <w:contextualSpacing/>
        <w:jc w:val="both"/>
        <w:rPr>
          <w:rFonts w:cs="Times New Roman"/>
          <w:u w:val="single"/>
          <w:lang w:eastAsia="en-GB" w:bidi="en-GB"/>
        </w:rPr>
      </w:pPr>
      <w:r w:rsidRPr="0055550E">
        <w:rPr>
          <w:rFonts w:cs="Times New Roman"/>
          <w:u w:val="single"/>
          <w:lang w:eastAsia="en-GB" w:bidi="en-GB"/>
        </w:rPr>
        <w:t>Chapter 6: Conclusion.</w:t>
      </w:r>
    </w:p>
    <w:p w:rsidR="002B5C03" w:rsidRDefault="002B5C03" w:rsidP="000640FD">
      <w:pPr>
        <w:contextualSpacing/>
        <w:jc w:val="both"/>
        <w:rPr>
          <w:rFonts w:cs="Times New Roman"/>
          <w:lang w:eastAsia="en-GB" w:bidi="en-GB"/>
        </w:rPr>
      </w:pPr>
    </w:p>
    <w:p w:rsidR="002B5C03" w:rsidRPr="002B5C03" w:rsidRDefault="002B5C03" w:rsidP="000640FD">
      <w:pPr>
        <w:contextualSpacing/>
        <w:jc w:val="both"/>
        <w:rPr>
          <w:rFonts w:cs="Times New Roman"/>
          <w:lang w:eastAsia="en-GB" w:bidi="en-GB"/>
        </w:rPr>
      </w:pPr>
      <w:r w:rsidRPr="002B5C03">
        <w:rPr>
          <w:rFonts w:cs="Times New Roman"/>
          <w:lang w:eastAsia="en-GB" w:bidi="en-GB"/>
        </w:rPr>
        <w:t>This chapter will contain this papers conclusion.</w:t>
      </w:r>
    </w:p>
    <w:p w:rsidR="0079546F" w:rsidRPr="000640FD" w:rsidRDefault="0079546F" w:rsidP="000640FD">
      <w:pPr>
        <w:contextualSpacing/>
        <w:rPr>
          <w:rFonts w:cs="Times New Roman"/>
        </w:rPr>
      </w:pPr>
    </w:p>
    <w:sectPr w:rsidR="0079546F" w:rsidRPr="000640FD" w:rsidSect="008632C7">
      <w:pgSz w:w="11906" w:h="16838"/>
      <w:pgMar w:top="1134" w:right="1134" w:bottom="1134" w:left="1134" w:header="720" w:footer="720" w:gutter="0"/>
      <w:cols w:space="720"/>
      <w:formProt w:val="0"/>
      <w:docGrid w:linePitch="24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426A" w:rsidRDefault="0006426A" w:rsidP="004B408F">
      <w:pPr>
        <w:spacing w:after="0" w:line="240" w:lineRule="auto"/>
      </w:pPr>
      <w:r>
        <w:separator/>
      </w:r>
    </w:p>
  </w:endnote>
  <w:endnote w:type="continuationSeparator" w:id="1">
    <w:p w:rsidR="0006426A" w:rsidRDefault="0006426A" w:rsidP="004B40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20002A87" w:usb1="80000000" w:usb2="00000008" w:usb3="00000000" w:csb0="000001FF" w:csb1="00000000"/>
  </w:font>
  <w:font w:name="Microsoft YaHei">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426A" w:rsidRDefault="0006426A" w:rsidP="004B408F">
      <w:pPr>
        <w:spacing w:after="0" w:line="240" w:lineRule="auto"/>
      </w:pPr>
      <w:r>
        <w:separator/>
      </w:r>
    </w:p>
  </w:footnote>
  <w:footnote w:type="continuationSeparator" w:id="1">
    <w:p w:rsidR="0006426A" w:rsidRDefault="0006426A" w:rsidP="004B408F">
      <w:pPr>
        <w:spacing w:after="0" w:line="240" w:lineRule="auto"/>
      </w:pPr>
      <w:r>
        <w:continuationSeparator/>
      </w:r>
    </w:p>
  </w:footnote>
  <w:footnote w:id="2">
    <w:p w:rsidR="00BB3699" w:rsidRPr="00685803" w:rsidRDefault="00BB3699">
      <w:pPr>
        <w:pStyle w:val="FootnoteText"/>
        <w:rPr>
          <w:lang w:val="en-ZA"/>
        </w:rPr>
      </w:pPr>
      <w:r>
        <w:rPr>
          <w:rStyle w:val="FootnoteReference"/>
        </w:rPr>
        <w:footnoteRef/>
      </w:r>
      <w:r>
        <w:t xml:space="preserve"> </w:t>
      </w:r>
      <w:r>
        <w:rPr>
          <w:lang w:val="en-ZA"/>
        </w:rPr>
        <w:t xml:space="preserve"> 89/1998: section 2.</w:t>
      </w:r>
    </w:p>
  </w:footnote>
  <w:footnote w:id="3">
    <w:p w:rsidR="00BB3699" w:rsidRPr="00E408F6" w:rsidRDefault="00BB3699">
      <w:pPr>
        <w:pStyle w:val="FootnoteText"/>
        <w:rPr>
          <w:lang w:val="en-ZA"/>
        </w:rPr>
      </w:pPr>
      <w:r>
        <w:rPr>
          <w:rStyle w:val="FootnoteReference"/>
        </w:rPr>
        <w:footnoteRef/>
      </w:r>
      <w:r>
        <w:t xml:space="preserve"> </w:t>
      </w:r>
      <w:r>
        <w:rPr>
          <w:lang w:val="en-ZA"/>
        </w:rPr>
        <w:t xml:space="preserve"> Competition is not defined by the Competition Act 89/1998. For more information in this regard and for a possible definition  see Neuhoff </w:t>
      </w:r>
      <w:r w:rsidRPr="003C722A">
        <w:rPr>
          <w:i/>
          <w:lang w:val="en-ZA"/>
        </w:rPr>
        <w:t>et al</w:t>
      </w:r>
      <w:r>
        <w:rPr>
          <w:lang w:val="en-ZA"/>
        </w:rPr>
        <w:t xml:space="preserve"> 2006: 25-26.</w:t>
      </w:r>
    </w:p>
  </w:footnote>
  <w:footnote w:id="4">
    <w:p w:rsidR="00BB3699" w:rsidRPr="004B408F" w:rsidRDefault="00BB3699">
      <w:pPr>
        <w:pStyle w:val="FootnoteText"/>
        <w:rPr>
          <w:lang w:val="en-ZA"/>
        </w:rPr>
      </w:pPr>
      <w:r>
        <w:rPr>
          <w:rStyle w:val="FootnoteReference"/>
        </w:rPr>
        <w:footnoteRef/>
      </w:r>
      <w:r>
        <w:t xml:space="preserve">  </w:t>
      </w:r>
      <w:r>
        <w:rPr>
          <w:lang w:val="en-ZA"/>
        </w:rPr>
        <w:t xml:space="preserve">Note that </w:t>
      </w:r>
      <w:r>
        <w:t>the development and efficiency of the South African economy, employment, consumer welfare and the international competitiveness of South Africa are the objectives of the Competition Act 89/1998 which are to be achieved through competition which is the purpose of the Competition Act 89/1998.</w:t>
      </w:r>
    </w:p>
  </w:footnote>
  <w:footnote w:id="5">
    <w:p w:rsidR="00BB3699" w:rsidRPr="00847850" w:rsidRDefault="00BB3699">
      <w:pPr>
        <w:pStyle w:val="FootnoteText"/>
        <w:rPr>
          <w:lang w:val="en-ZA"/>
        </w:rPr>
      </w:pPr>
      <w:r>
        <w:rPr>
          <w:rStyle w:val="FootnoteReference"/>
        </w:rPr>
        <w:footnoteRef/>
      </w:r>
      <w:r>
        <w:t xml:space="preserve"> </w:t>
      </w:r>
      <w:r>
        <w:rPr>
          <w:lang w:val="en-ZA"/>
        </w:rPr>
        <w:t xml:space="preserve"> 89/1998.</w:t>
      </w:r>
    </w:p>
  </w:footnote>
  <w:footnote w:id="6">
    <w:p w:rsidR="00BB3699" w:rsidRPr="00876DFB" w:rsidRDefault="00BB3699">
      <w:pPr>
        <w:pStyle w:val="FootnoteText"/>
        <w:rPr>
          <w:lang w:val="en-ZA"/>
        </w:rPr>
      </w:pPr>
      <w:r>
        <w:rPr>
          <w:rStyle w:val="FootnoteReference"/>
        </w:rPr>
        <w:footnoteRef/>
      </w:r>
      <w:r>
        <w:t xml:space="preserve"> </w:t>
      </w:r>
      <w:r>
        <w:rPr>
          <w:lang w:val="en-ZA"/>
        </w:rPr>
        <w:t xml:space="preserve"> See Neuhoff </w:t>
      </w:r>
      <w:r w:rsidRPr="00876DFB">
        <w:rPr>
          <w:i/>
          <w:lang w:val="en-ZA"/>
        </w:rPr>
        <w:t>et al</w:t>
      </w:r>
      <w:r>
        <w:rPr>
          <w:lang w:val="en-ZA"/>
        </w:rPr>
        <w:t xml:space="preserve"> 2006: 25-26 for more information.</w:t>
      </w:r>
    </w:p>
  </w:footnote>
  <w:footnote w:id="7">
    <w:p w:rsidR="00BB3699" w:rsidRPr="00DA2299" w:rsidRDefault="00BB3699">
      <w:pPr>
        <w:pStyle w:val="FootnoteText"/>
        <w:rPr>
          <w:lang w:val="en-ZA"/>
        </w:rPr>
      </w:pPr>
      <w:r>
        <w:rPr>
          <w:rStyle w:val="FootnoteReference"/>
        </w:rPr>
        <w:footnoteRef/>
      </w:r>
      <w:r>
        <w:t xml:space="preserve">  </w:t>
      </w:r>
      <w:r>
        <w:rPr>
          <w:lang w:val="en-ZA"/>
        </w:rPr>
        <w:t>89/1998.</w:t>
      </w:r>
    </w:p>
  </w:footnote>
  <w:footnote w:id="8">
    <w:p w:rsidR="00BB3699" w:rsidRPr="008A2C8A" w:rsidRDefault="00BB3699">
      <w:pPr>
        <w:pStyle w:val="FootnoteText"/>
        <w:rPr>
          <w:lang w:val="en-ZA"/>
        </w:rPr>
      </w:pPr>
      <w:r>
        <w:rPr>
          <w:rStyle w:val="FootnoteReference"/>
        </w:rPr>
        <w:footnoteRef/>
      </w:r>
      <w:r>
        <w:t xml:space="preserve">  89/1998.</w:t>
      </w:r>
    </w:p>
  </w:footnote>
  <w:footnote w:id="9">
    <w:p w:rsidR="00BB3699" w:rsidRPr="00EF3F34" w:rsidRDefault="00BB3699">
      <w:pPr>
        <w:pStyle w:val="FootnoteText"/>
        <w:rPr>
          <w:lang w:val="en-ZA"/>
        </w:rPr>
      </w:pPr>
      <w:r>
        <w:rPr>
          <w:rStyle w:val="FootnoteReference"/>
        </w:rPr>
        <w:footnoteRef/>
      </w:r>
      <w:r>
        <w:t xml:space="preserve">  T</w:t>
      </w:r>
      <w:r w:rsidRPr="001075A1">
        <w:rPr>
          <w:lang w:val="en-ZA"/>
        </w:rPr>
        <w:t>he efficiency defence consist of 3 separate defences namely a defence for efficiency</w:t>
      </w:r>
      <w:r>
        <w:rPr>
          <w:lang w:val="en-ZA"/>
        </w:rPr>
        <w:t xml:space="preserve"> gains</w:t>
      </w:r>
      <w:r w:rsidRPr="001075A1">
        <w:rPr>
          <w:lang w:val="en-ZA"/>
        </w:rPr>
        <w:t>,</w:t>
      </w:r>
      <w:r>
        <w:rPr>
          <w:lang w:val="en-ZA"/>
        </w:rPr>
        <w:t xml:space="preserve"> a defence for </w:t>
      </w:r>
      <w:r w:rsidRPr="001075A1">
        <w:rPr>
          <w:lang w:val="en-ZA"/>
        </w:rPr>
        <w:t>technological</w:t>
      </w:r>
      <w:r>
        <w:rPr>
          <w:lang w:val="en-ZA"/>
        </w:rPr>
        <w:t xml:space="preserve"> gains</w:t>
      </w:r>
      <w:r w:rsidRPr="001075A1">
        <w:rPr>
          <w:lang w:val="en-ZA"/>
        </w:rPr>
        <w:t xml:space="preserve"> and </w:t>
      </w:r>
      <w:r>
        <w:rPr>
          <w:lang w:val="en-ZA"/>
        </w:rPr>
        <w:t>a defence for any other</w:t>
      </w:r>
      <w:r w:rsidRPr="001075A1">
        <w:rPr>
          <w:lang w:val="en-ZA"/>
        </w:rPr>
        <w:t xml:space="preserve"> pro-competitive gains.</w:t>
      </w:r>
      <w:r>
        <w:rPr>
          <w:lang w:val="en-ZA"/>
        </w:rPr>
        <w:t xml:space="preserve"> The efficiency defence is thus a cumulative name for these 3 separate defences.</w:t>
      </w:r>
    </w:p>
  </w:footnote>
  <w:footnote w:id="10">
    <w:p w:rsidR="00BB3699" w:rsidRPr="00343134" w:rsidRDefault="00BB3699">
      <w:pPr>
        <w:pStyle w:val="FootnoteText"/>
        <w:rPr>
          <w:lang w:val="en-ZA"/>
        </w:rPr>
      </w:pPr>
      <w:r>
        <w:rPr>
          <w:rStyle w:val="FootnoteReference"/>
        </w:rPr>
        <w:footnoteRef/>
      </w:r>
      <w:r>
        <w:t xml:space="preserve"> </w:t>
      </w:r>
      <w:r>
        <w:rPr>
          <w:lang w:val="en-ZA"/>
        </w:rPr>
        <w:t xml:space="preserve"> 89/1998.</w:t>
      </w:r>
    </w:p>
  </w:footnote>
  <w:footnote w:id="11">
    <w:p w:rsidR="00BB3699" w:rsidRPr="006C498E" w:rsidRDefault="00BB3699">
      <w:pPr>
        <w:pStyle w:val="FootnoteText"/>
        <w:rPr>
          <w:lang w:val="en-ZA"/>
        </w:rPr>
      </w:pPr>
      <w:r>
        <w:rPr>
          <w:rStyle w:val="FootnoteReference"/>
        </w:rPr>
        <w:footnoteRef/>
      </w:r>
      <w:r>
        <w:t xml:space="preserve"> </w:t>
      </w:r>
      <w:r>
        <w:rPr>
          <w:lang w:val="en-ZA"/>
        </w:rPr>
        <w:t xml:space="preserve"> Note that the efficiency defence is only considered on a case by case base.</w:t>
      </w:r>
    </w:p>
  </w:footnote>
  <w:footnote w:id="12">
    <w:p w:rsidR="00BB3699" w:rsidRPr="00D963EE" w:rsidRDefault="00BB3699">
      <w:pPr>
        <w:pStyle w:val="FootnoteText"/>
        <w:rPr>
          <w:lang w:val="en-ZA"/>
        </w:rPr>
      </w:pPr>
      <w:r>
        <w:rPr>
          <w:rStyle w:val="FootnoteReference"/>
        </w:rPr>
        <w:footnoteRef/>
      </w:r>
      <w:r>
        <w:t xml:space="preserve"> </w:t>
      </w:r>
      <w:r>
        <w:rPr>
          <w:lang w:val="en-ZA"/>
        </w:rPr>
        <w:t xml:space="preserve"> Competition Act 89/1998.</w:t>
      </w:r>
    </w:p>
  </w:footnote>
  <w:footnote w:id="13">
    <w:p w:rsidR="00BB3699" w:rsidRPr="00602ADD" w:rsidRDefault="00BB3699">
      <w:pPr>
        <w:pStyle w:val="FootnoteText"/>
        <w:rPr>
          <w:lang w:val="en-ZA"/>
        </w:rPr>
      </w:pPr>
      <w:r>
        <w:rPr>
          <w:rStyle w:val="FootnoteReference"/>
        </w:rPr>
        <w:footnoteRef/>
      </w:r>
      <w:r>
        <w:t xml:space="preserve"> </w:t>
      </w:r>
      <w:r>
        <w:rPr>
          <w:lang w:val="en-ZA"/>
        </w:rPr>
        <w:t xml:space="preserve"> Competition Act 89/1998.</w:t>
      </w:r>
    </w:p>
  </w:footnote>
  <w:footnote w:id="14">
    <w:p w:rsidR="00BB3699" w:rsidRPr="004F1D7C" w:rsidRDefault="00BB3699">
      <w:pPr>
        <w:pStyle w:val="FootnoteText"/>
        <w:rPr>
          <w:lang w:val="en-ZA"/>
        </w:rPr>
      </w:pPr>
      <w:r>
        <w:rPr>
          <w:rStyle w:val="FootnoteReference"/>
        </w:rPr>
        <w:footnoteRef/>
      </w:r>
      <w:r>
        <w:t xml:space="preserve"> </w:t>
      </w:r>
      <w:r>
        <w:rPr>
          <w:lang w:val="en-ZA"/>
        </w:rPr>
        <w:t xml:space="preserve"> Competition Act 89/1998.</w:t>
      </w:r>
    </w:p>
  </w:footnote>
  <w:footnote w:id="15">
    <w:p w:rsidR="00BB3699" w:rsidRPr="00E501D9" w:rsidRDefault="00BB3699">
      <w:pPr>
        <w:pStyle w:val="FootnoteText"/>
        <w:rPr>
          <w:lang w:val="en-ZA"/>
        </w:rPr>
      </w:pPr>
      <w:r>
        <w:rPr>
          <w:rStyle w:val="FootnoteReference"/>
        </w:rPr>
        <w:footnoteRef/>
      </w:r>
      <w:r>
        <w:t xml:space="preserve"> </w:t>
      </w:r>
      <w:r>
        <w:rPr>
          <w:lang w:val="en-ZA"/>
        </w:rPr>
        <w:t xml:space="preserve"> 89/1998.</w:t>
      </w:r>
    </w:p>
  </w:footnote>
  <w:footnote w:id="16">
    <w:p w:rsidR="00BB3699" w:rsidRPr="00DF3A99" w:rsidRDefault="00BB3699">
      <w:pPr>
        <w:pStyle w:val="FootnoteText"/>
        <w:rPr>
          <w:lang w:val="en-ZA"/>
        </w:rPr>
      </w:pPr>
      <w:r>
        <w:rPr>
          <w:rStyle w:val="FootnoteReference"/>
        </w:rPr>
        <w:footnoteRef/>
      </w:r>
      <w:r>
        <w:t xml:space="preserve"> </w:t>
      </w:r>
      <w:r>
        <w:rPr>
          <w:lang w:val="en-ZA"/>
        </w:rPr>
        <w:t xml:space="preserve"> 89/1998.</w:t>
      </w:r>
    </w:p>
  </w:footnote>
  <w:footnote w:id="17">
    <w:p w:rsidR="00BB3699" w:rsidRPr="00E501D9" w:rsidRDefault="00BB3699">
      <w:pPr>
        <w:pStyle w:val="FootnoteText"/>
        <w:rPr>
          <w:lang w:val="en-ZA"/>
        </w:rPr>
      </w:pPr>
      <w:r>
        <w:rPr>
          <w:rStyle w:val="FootnoteReference"/>
        </w:rPr>
        <w:footnoteRef/>
      </w:r>
      <w:r>
        <w:t xml:space="preserve"> </w:t>
      </w:r>
      <w:r>
        <w:rPr>
          <w:lang w:val="en-ZA"/>
        </w:rPr>
        <w:t xml:space="preserve"> 89/1998.</w:t>
      </w:r>
    </w:p>
  </w:footnote>
  <w:footnote w:id="18">
    <w:p w:rsidR="00BB3699" w:rsidRPr="00E04234" w:rsidRDefault="00BB3699">
      <w:pPr>
        <w:pStyle w:val="FootnoteText"/>
        <w:rPr>
          <w:lang w:val="en-ZA"/>
        </w:rPr>
      </w:pPr>
      <w:r>
        <w:rPr>
          <w:rStyle w:val="FootnoteReference"/>
        </w:rPr>
        <w:footnoteRef/>
      </w:r>
      <w:r>
        <w:t xml:space="preserve"> </w:t>
      </w:r>
      <w:r>
        <w:rPr>
          <w:lang w:val="en-ZA"/>
        </w:rPr>
        <w:t xml:space="preserve"> Note that the prohibitions contained within the Competition Act 89/1998 are for conduct which according to economic theory results in anti-competitive effects. Remember that the purpose of the Competition Act 89/1998 is to promote and maintain competition within the republic of South Africa.</w:t>
      </w:r>
    </w:p>
  </w:footnote>
  <w:footnote w:id="19">
    <w:p w:rsidR="00BB3699" w:rsidRPr="0081611A" w:rsidRDefault="00BB3699">
      <w:pPr>
        <w:pStyle w:val="FootnoteText"/>
        <w:rPr>
          <w:lang w:val="en-ZA"/>
        </w:rPr>
      </w:pPr>
      <w:r>
        <w:rPr>
          <w:rStyle w:val="FootnoteReference"/>
        </w:rPr>
        <w:footnoteRef/>
      </w:r>
      <w:r>
        <w:t xml:space="preserve"> </w:t>
      </w:r>
      <w:r>
        <w:rPr>
          <w:lang w:val="en-ZA"/>
        </w:rPr>
        <w:t xml:space="preserve"> 89/1998.</w:t>
      </w:r>
    </w:p>
  </w:footnote>
  <w:footnote w:id="20">
    <w:p w:rsidR="00BB3699" w:rsidRPr="007766D2" w:rsidRDefault="00BB3699">
      <w:pPr>
        <w:pStyle w:val="FootnoteText"/>
        <w:rPr>
          <w:lang w:val="en-ZA"/>
        </w:rPr>
      </w:pPr>
      <w:r>
        <w:rPr>
          <w:rStyle w:val="FootnoteReference"/>
        </w:rPr>
        <w:footnoteRef/>
      </w:r>
      <w:r>
        <w:t xml:space="preserve"> </w:t>
      </w:r>
      <w:r>
        <w:rPr>
          <w:lang w:val="en-ZA"/>
        </w:rPr>
        <w:t xml:space="preserve"> 89/1998.</w:t>
      </w:r>
    </w:p>
  </w:footnote>
  <w:footnote w:id="21">
    <w:p w:rsidR="00BB3699" w:rsidRPr="00082517" w:rsidRDefault="00BB3699">
      <w:pPr>
        <w:pStyle w:val="FootnoteText"/>
        <w:rPr>
          <w:lang w:val="en-ZA"/>
        </w:rPr>
      </w:pPr>
      <w:r>
        <w:rPr>
          <w:rStyle w:val="FootnoteReference"/>
        </w:rPr>
        <w:footnoteRef/>
      </w:r>
      <w:r>
        <w:t xml:space="preserve"> </w:t>
      </w:r>
      <w:r>
        <w:rPr>
          <w:lang w:val="en-ZA"/>
        </w:rPr>
        <w:t xml:space="preserve"> The rule of reason prohibitions are contained in sections 4(1)(a); 5(1); 8(c); 8(d); 12A(1)(a)(i) of the Competition Act 89/1998 as well as section 10A of the Competition Amendment Act 1/2009 which is yet to come into force. These sections correspondingly deal with restrictive horizontal practises, restrictive vertical practices, abuse of dominance, mergers and complex monopoly conduct.</w:t>
      </w:r>
    </w:p>
  </w:footnote>
  <w:footnote w:id="22">
    <w:p w:rsidR="00BB3699" w:rsidRPr="00A43863" w:rsidRDefault="00BB3699">
      <w:pPr>
        <w:pStyle w:val="FootnoteText"/>
        <w:rPr>
          <w:lang w:val="en-ZA"/>
        </w:rPr>
      </w:pPr>
      <w:r>
        <w:rPr>
          <w:rStyle w:val="FootnoteReference"/>
        </w:rPr>
        <w:footnoteRef/>
      </w:r>
      <w:r>
        <w:t xml:space="preserve"> </w:t>
      </w:r>
      <w:r>
        <w:rPr>
          <w:lang w:val="en-ZA"/>
        </w:rPr>
        <w:t xml:space="preserve"> In this proposal an issue is defined as ‘n area of uncertainty i.e. a question for which there is no clear answer. </w:t>
      </w:r>
    </w:p>
  </w:footnote>
  <w:footnote w:id="23">
    <w:p w:rsidR="00BB3699" w:rsidRPr="005D47FB" w:rsidRDefault="00BB3699">
      <w:pPr>
        <w:pStyle w:val="FootnoteText"/>
        <w:rPr>
          <w:lang w:val="en-ZA"/>
        </w:rPr>
      </w:pPr>
      <w:r>
        <w:rPr>
          <w:rStyle w:val="FootnoteReference"/>
        </w:rPr>
        <w:footnoteRef/>
      </w:r>
      <w:r>
        <w:t xml:space="preserve">  </w:t>
      </w:r>
      <w:r>
        <w:rPr>
          <w:lang w:val="en-ZA"/>
        </w:rPr>
        <w:t>Please note that these issues are not the only topics that will be discussed in this paper. There are numerous other topics that will also be discussed. These other topics are however still relevant for to the efficiency defence and the issues since it sets out the background and context of the efficiency defence and the relevant issues. This in turn will bind the whole paper into 1 logical unit. See appendix 1 for a complete list of all the topics that will be covered in this paper.</w:t>
      </w:r>
    </w:p>
  </w:footnote>
  <w:footnote w:id="24">
    <w:p w:rsidR="00BB3699" w:rsidRPr="003A0F33" w:rsidRDefault="00BB3699">
      <w:pPr>
        <w:pStyle w:val="FootnoteText"/>
        <w:rPr>
          <w:lang w:val="en-ZA"/>
        </w:rPr>
      </w:pPr>
      <w:r>
        <w:rPr>
          <w:rStyle w:val="FootnoteReference"/>
        </w:rPr>
        <w:footnoteRef/>
      </w:r>
      <w:r>
        <w:t xml:space="preserve"> </w:t>
      </w:r>
      <w:r>
        <w:rPr>
          <w:lang w:val="en-ZA"/>
        </w:rPr>
        <w:t xml:space="preserve"> 89/1998.</w:t>
      </w:r>
    </w:p>
  </w:footnote>
  <w:footnote w:id="25">
    <w:p w:rsidR="00BB3699" w:rsidRPr="003A0F33" w:rsidRDefault="00BB3699">
      <w:pPr>
        <w:pStyle w:val="FootnoteText"/>
        <w:rPr>
          <w:lang w:val="en-ZA"/>
        </w:rPr>
      </w:pPr>
      <w:r>
        <w:rPr>
          <w:rStyle w:val="FootnoteReference"/>
        </w:rPr>
        <w:footnoteRef/>
      </w:r>
      <w:r>
        <w:t xml:space="preserve"> </w:t>
      </w:r>
      <w:r>
        <w:rPr>
          <w:lang w:val="en-ZA"/>
        </w:rPr>
        <w:t xml:space="preserve"> If a firm where to contravene the Competition Act 89/1998 the competition authorities can impose a fine of up to 10 percent of the firm’s annual turnover. This causes the distinction between joint ventures and mergers to be all the more relevant.</w:t>
      </w:r>
    </w:p>
  </w:footnote>
  <w:footnote w:id="26">
    <w:p w:rsidR="00BB3699" w:rsidRPr="002E0D53" w:rsidRDefault="00BB3699">
      <w:pPr>
        <w:pStyle w:val="FootnoteText"/>
        <w:rPr>
          <w:lang w:val="en-ZA"/>
        </w:rPr>
      </w:pPr>
      <w:r>
        <w:rPr>
          <w:rStyle w:val="FootnoteReference"/>
        </w:rPr>
        <w:footnoteRef/>
      </w:r>
      <w:r>
        <w:t xml:space="preserve"> </w:t>
      </w:r>
      <w:r>
        <w:rPr>
          <w:lang w:val="en-ZA"/>
        </w:rPr>
        <w:t xml:space="preserve"> This question is extremely relevant since the aim of the efficiency defence is to determine whether there </w:t>
      </w:r>
      <w:r w:rsidR="00A70290">
        <w:rPr>
          <w:lang w:val="en-ZA"/>
        </w:rPr>
        <w:t>is</w:t>
      </w:r>
      <w:r>
        <w:rPr>
          <w:lang w:val="en-ZA"/>
        </w:rPr>
        <w:t xml:space="preserve"> any efficiency, technological and other pro-competitive gains that </w:t>
      </w:r>
      <w:r w:rsidR="00A70290">
        <w:rPr>
          <w:lang w:val="en-ZA"/>
        </w:rPr>
        <w:t>outweigh</w:t>
      </w:r>
      <w:r>
        <w:rPr>
          <w:lang w:val="en-ZA"/>
        </w:rPr>
        <w:t xml:space="preserve"> the potential anti-competitive effects. This balancing act would be impossible if neither the anti-competitive and/or the pro-competitive gains could be measured.</w:t>
      </w:r>
    </w:p>
  </w:footnote>
  <w:footnote w:id="27">
    <w:p w:rsidR="00BB3699" w:rsidRPr="00654C00" w:rsidRDefault="00BB3699">
      <w:pPr>
        <w:pStyle w:val="FootnoteText"/>
        <w:rPr>
          <w:lang w:val="en-ZA"/>
        </w:rPr>
      </w:pPr>
      <w:r>
        <w:rPr>
          <w:rStyle w:val="FootnoteReference"/>
        </w:rPr>
        <w:footnoteRef/>
      </w:r>
      <w:r>
        <w:t xml:space="preserve"> </w:t>
      </w:r>
      <w:r>
        <w:rPr>
          <w:lang w:val="en-ZA"/>
        </w:rPr>
        <w:t xml:space="preserve"> The verification process can be troublesome since the competition authorities do not always have access to all the relevant and required information and also because firms tend to overstate the pro-competitive gains. </w:t>
      </w:r>
    </w:p>
  </w:footnote>
  <w:footnote w:id="28">
    <w:p w:rsidR="00BB3699" w:rsidRPr="005E1854" w:rsidRDefault="00BB3699">
      <w:pPr>
        <w:pStyle w:val="FootnoteText"/>
        <w:rPr>
          <w:lang w:val="en-ZA"/>
        </w:rPr>
      </w:pPr>
      <w:r>
        <w:rPr>
          <w:rStyle w:val="FootnoteReference"/>
        </w:rPr>
        <w:footnoteRef/>
      </w:r>
      <w:r>
        <w:t xml:space="preserve"> </w:t>
      </w:r>
      <w:r>
        <w:rPr>
          <w:lang w:val="en-ZA"/>
        </w:rPr>
        <w:t xml:space="preserve"> In light of the objectives of the Competition Act 89/1998 there are a number of different theories each stating that it is the best theory to use in order to attain these objectives. These theories include the price standard, consumer surplus standard, recourse saving standard, total welfare standard, the balancing weight standard, the </w:t>
      </w:r>
      <w:r w:rsidRPr="007B0BF6">
        <w:rPr>
          <w:lang w:val="en-ZA"/>
        </w:rPr>
        <w:t>Williamson trade off</w:t>
      </w:r>
      <w:r>
        <w:rPr>
          <w:lang w:val="en-ZA"/>
        </w:rPr>
        <w:t xml:space="preserve">, a </w:t>
      </w:r>
      <w:r w:rsidRPr="0037028B">
        <w:rPr>
          <w:lang w:val="en-ZA"/>
        </w:rPr>
        <w:t>formulaic</w:t>
      </w:r>
      <w:r>
        <w:rPr>
          <w:lang w:val="en-ZA"/>
        </w:rPr>
        <w:t xml:space="preserve"> approach and a discretionary approach. For more information in this regard see Sutherland 2008: 346-352.</w:t>
      </w:r>
    </w:p>
  </w:footnote>
  <w:footnote w:id="29">
    <w:p w:rsidR="00BB3699" w:rsidRPr="00D7402A" w:rsidRDefault="00BB3699">
      <w:pPr>
        <w:pStyle w:val="FootnoteText"/>
        <w:rPr>
          <w:lang w:val="en-ZA"/>
        </w:rPr>
      </w:pPr>
      <w:r>
        <w:rPr>
          <w:rStyle w:val="FootnoteReference"/>
        </w:rPr>
        <w:footnoteRef/>
      </w:r>
      <w:r>
        <w:t xml:space="preserve"> </w:t>
      </w:r>
      <w:r>
        <w:rPr>
          <w:lang w:val="en-ZA"/>
        </w:rPr>
        <w:t xml:space="preserve"> 89/1998. South Africa and Canada are the only countries in the world who have an efficiency defence in their competition legislation. All other countries consider any efficiency, technological and other pro-competitive gains in their analyses of the potential anti-competitive effects of the relevant conduct.</w:t>
      </w:r>
    </w:p>
  </w:footnote>
  <w:footnote w:id="30">
    <w:p w:rsidR="00BB3699" w:rsidRPr="00B62DB8" w:rsidRDefault="00BB3699">
      <w:pPr>
        <w:pStyle w:val="FootnoteText"/>
        <w:rPr>
          <w:lang w:val="en-ZA"/>
        </w:rPr>
      </w:pPr>
      <w:r>
        <w:rPr>
          <w:rStyle w:val="FootnoteReference"/>
        </w:rPr>
        <w:footnoteRef/>
      </w:r>
      <w:r>
        <w:t xml:space="preserve"> </w:t>
      </w:r>
      <w:r>
        <w:rPr>
          <w:lang w:val="en-ZA"/>
        </w:rPr>
        <w:t xml:space="preserve"> Competition Act 89/1998. The Competition Act 89/1998 authorises the competition authorities to permit certain conduct despite any anti-competitive effects of that conduct regardless of the availability of the efficiency defence. It can be argued that the public interest defence hinders the attainment of the purpose and objectives of the Competition Act 89/1998.</w:t>
      </w:r>
    </w:p>
  </w:footnote>
  <w:footnote w:id="31">
    <w:p w:rsidR="00BB3699" w:rsidRPr="00302492" w:rsidRDefault="00BB3699">
      <w:pPr>
        <w:pStyle w:val="FootnoteText"/>
        <w:rPr>
          <w:lang w:val="en-ZA"/>
        </w:rPr>
      </w:pPr>
      <w:r>
        <w:rPr>
          <w:rStyle w:val="FootnoteReference"/>
        </w:rPr>
        <w:footnoteRef/>
      </w:r>
      <w:r>
        <w:t xml:space="preserve"> </w:t>
      </w:r>
      <w:r>
        <w:rPr>
          <w:lang w:val="en-ZA"/>
        </w:rPr>
        <w:t xml:space="preserve"> This paper will include ‘n very brief discussion on the historical development of the Competition Act 89/1998. However in the context of the whole paper this historical part is insignificant with regard to its length. Therefore it cannot be justified describing this paper of using a combination of the historical and comparative methods of legal writing. This paper will be comparative because it will compare the interpretation and application of the efficiency defence in South Africa with its position in the United States of America, the European Union and Canada.</w:t>
      </w:r>
    </w:p>
  </w:footnote>
  <w:footnote w:id="32">
    <w:p w:rsidR="00BB3699" w:rsidRPr="006760FA" w:rsidRDefault="00BB3699">
      <w:pPr>
        <w:pStyle w:val="FootnoteText"/>
      </w:pPr>
      <w:r>
        <w:rPr>
          <w:rStyle w:val="FootnoteReference"/>
        </w:rPr>
        <w:footnoteRef/>
      </w:r>
      <w:r>
        <w:t xml:space="preserve"> </w:t>
      </w:r>
      <w:r w:rsidR="00A70290">
        <w:t xml:space="preserve"> </w:t>
      </w:r>
      <w:r>
        <w:rPr>
          <w:lang w:val="en-ZA"/>
        </w:rPr>
        <w:t>This includes the South African Competition Act 89/1998 including all its amendments as well as similar legislation found in the United States of America, the European Union and Canada.</w:t>
      </w:r>
    </w:p>
  </w:footnote>
  <w:footnote w:id="33">
    <w:p w:rsidR="00BB3699" w:rsidRPr="006760FA" w:rsidRDefault="00BB3699">
      <w:pPr>
        <w:pStyle w:val="FootnoteText"/>
        <w:rPr>
          <w:lang w:val="en-ZA"/>
        </w:rPr>
      </w:pPr>
      <w:r>
        <w:rPr>
          <w:rStyle w:val="FootnoteReference"/>
        </w:rPr>
        <w:footnoteRef/>
      </w:r>
      <w:r>
        <w:t xml:space="preserve"> </w:t>
      </w:r>
      <w:r w:rsidR="00A70290">
        <w:t xml:space="preserve"> </w:t>
      </w:r>
      <w:r>
        <w:rPr>
          <w:lang w:val="en-ZA"/>
        </w:rPr>
        <w:t>This includes relevant case law found in South Africa, the United States of America, the European Union and Canada.</w:t>
      </w:r>
    </w:p>
  </w:footnote>
  <w:footnote w:id="34">
    <w:p w:rsidR="00BB3699" w:rsidRPr="00162646" w:rsidRDefault="00BB3699">
      <w:pPr>
        <w:pStyle w:val="FootnoteText"/>
        <w:rPr>
          <w:lang w:val="en-ZA"/>
        </w:rPr>
      </w:pPr>
      <w:r>
        <w:rPr>
          <w:rStyle w:val="FootnoteReference"/>
        </w:rPr>
        <w:footnoteRef/>
      </w:r>
      <w:r>
        <w:t xml:space="preserve"> </w:t>
      </w:r>
      <w:r w:rsidR="00A70290">
        <w:t xml:space="preserve"> </w:t>
      </w:r>
      <w:r>
        <w:rPr>
          <w:lang w:val="en-ZA"/>
        </w:rPr>
        <w:t>These include law journal articles as well as economic journals articles.</w:t>
      </w:r>
    </w:p>
  </w:footnote>
  <w:footnote w:id="35">
    <w:p w:rsidR="00BB3699" w:rsidRPr="00162646" w:rsidRDefault="00BB3699">
      <w:pPr>
        <w:pStyle w:val="FootnoteText"/>
        <w:rPr>
          <w:lang w:val="en-ZA"/>
        </w:rPr>
      </w:pPr>
      <w:r>
        <w:rPr>
          <w:rStyle w:val="FootnoteReference"/>
        </w:rPr>
        <w:footnoteRef/>
      </w:r>
      <w:r>
        <w:t xml:space="preserve"> </w:t>
      </w:r>
      <w:r w:rsidR="00A70290">
        <w:t xml:space="preserve"> </w:t>
      </w:r>
      <w:r>
        <w:rPr>
          <w:lang w:val="en-ZA"/>
        </w:rPr>
        <w:t xml:space="preserve">Textbooks will mainly be used to determine the general position of the efficiency defence in South Africa and in the United States of America, the European Union and Canada. Textbooks will also be used to define certain economic principles. </w:t>
      </w:r>
    </w:p>
  </w:footnote>
  <w:footnote w:id="36">
    <w:p w:rsidR="00BB3699" w:rsidRPr="00B01F01" w:rsidRDefault="00BB3699">
      <w:pPr>
        <w:pStyle w:val="FootnoteText"/>
        <w:rPr>
          <w:lang w:val="en-ZA"/>
        </w:rPr>
      </w:pPr>
      <w:r>
        <w:rPr>
          <w:rStyle w:val="FootnoteReference"/>
        </w:rPr>
        <w:footnoteRef/>
      </w:r>
      <w:r>
        <w:t xml:space="preserve"> </w:t>
      </w:r>
      <w:r w:rsidR="00A70290">
        <w:t xml:space="preserve"> </w:t>
      </w:r>
      <w:r>
        <w:rPr>
          <w:lang w:val="en-ZA"/>
        </w:rPr>
        <w:t>This includes papers and other writings published by organisations dealing exclusively with competition law as well as papers published by legal practitioners for legal firms and other organisations.</w:t>
      </w:r>
    </w:p>
  </w:footnote>
  <w:footnote w:id="37">
    <w:p w:rsidR="00BB3699" w:rsidRPr="00E3475C" w:rsidRDefault="00BB3699">
      <w:pPr>
        <w:pStyle w:val="FootnoteText"/>
        <w:rPr>
          <w:lang w:val="en-ZA"/>
        </w:rPr>
      </w:pPr>
      <w:r>
        <w:rPr>
          <w:rStyle w:val="FootnoteReference"/>
        </w:rPr>
        <w:footnoteRef/>
      </w:r>
      <w:r>
        <w:t xml:space="preserve"> </w:t>
      </w:r>
      <w:r w:rsidR="00A70290">
        <w:t xml:space="preserve"> </w:t>
      </w:r>
      <w:r>
        <w:rPr>
          <w:lang w:val="en-ZA"/>
        </w:rPr>
        <w:t>89/1998.</w:t>
      </w:r>
    </w:p>
  </w:footnote>
  <w:footnote w:id="38">
    <w:p w:rsidR="00BB3699" w:rsidRPr="00E3475C" w:rsidRDefault="00BB3699">
      <w:pPr>
        <w:pStyle w:val="FootnoteText"/>
        <w:rPr>
          <w:lang w:val="en-ZA"/>
        </w:rPr>
      </w:pPr>
      <w:r>
        <w:rPr>
          <w:rStyle w:val="FootnoteReference"/>
        </w:rPr>
        <w:footnoteRef/>
      </w:r>
      <w:r>
        <w:t xml:space="preserve"> </w:t>
      </w:r>
      <w:r w:rsidR="00A70290">
        <w:t xml:space="preserve"> </w:t>
      </w:r>
      <w:r>
        <w:rPr>
          <w:lang w:val="en-ZA"/>
        </w:rPr>
        <w:t>89/1998.</w:t>
      </w:r>
    </w:p>
  </w:footnote>
  <w:footnote w:id="39">
    <w:p w:rsidR="00BB3699" w:rsidRPr="00E3475C" w:rsidRDefault="00BB3699">
      <w:pPr>
        <w:pStyle w:val="FootnoteText"/>
        <w:rPr>
          <w:lang w:val="en-ZA"/>
        </w:rPr>
      </w:pPr>
      <w:r>
        <w:rPr>
          <w:rStyle w:val="FootnoteReference"/>
        </w:rPr>
        <w:footnoteRef/>
      </w:r>
      <w:r>
        <w:t xml:space="preserve"> </w:t>
      </w:r>
      <w:r w:rsidR="00A70290">
        <w:t xml:space="preserve"> </w:t>
      </w:r>
      <w:r>
        <w:rPr>
          <w:lang w:val="en-ZA"/>
        </w:rPr>
        <w:t>89/1998.</w:t>
      </w:r>
    </w:p>
  </w:footnote>
  <w:footnote w:id="40">
    <w:p w:rsidR="00BB3699" w:rsidRPr="00E3475C" w:rsidRDefault="00BB3699">
      <w:pPr>
        <w:pStyle w:val="FootnoteText"/>
        <w:rPr>
          <w:lang w:val="en-ZA"/>
        </w:rPr>
      </w:pPr>
      <w:r>
        <w:rPr>
          <w:rStyle w:val="FootnoteReference"/>
        </w:rPr>
        <w:footnoteRef/>
      </w:r>
      <w:r>
        <w:t xml:space="preserve"> </w:t>
      </w:r>
      <w:r w:rsidR="00A70290">
        <w:t xml:space="preserve"> </w:t>
      </w:r>
      <w:r>
        <w:rPr>
          <w:lang w:val="en-ZA"/>
        </w:rPr>
        <w:t>89/1998.</w:t>
      </w:r>
    </w:p>
  </w:footnote>
  <w:footnote w:id="41">
    <w:p w:rsidR="00BB3699" w:rsidRPr="00E3475C" w:rsidRDefault="00BB3699">
      <w:pPr>
        <w:pStyle w:val="FootnoteText"/>
        <w:rPr>
          <w:lang w:val="en-ZA"/>
        </w:rPr>
      </w:pPr>
      <w:r>
        <w:rPr>
          <w:rStyle w:val="FootnoteReference"/>
        </w:rPr>
        <w:footnoteRef/>
      </w:r>
      <w:r>
        <w:t xml:space="preserve"> </w:t>
      </w:r>
      <w:r w:rsidR="00A70290">
        <w:t xml:space="preserve"> </w:t>
      </w:r>
      <w:r>
        <w:rPr>
          <w:lang w:val="en-ZA"/>
        </w:rPr>
        <w:t>89/1998.</w:t>
      </w:r>
    </w:p>
  </w:footnote>
  <w:footnote w:id="42">
    <w:p w:rsidR="00BB3699" w:rsidRPr="00907BB7" w:rsidRDefault="00BB3699">
      <w:pPr>
        <w:pStyle w:val="FootnoteText"/>
        <w:rPr>
          <w:lang w:val="en-ZA"/>
        </w:rPr>
      </w:pPr>
      <w:r>
        <w:rPr>
          <w:rStyle w:val="FootnoteReference"/>
        </w:rPr>
        <w:footnoteRef/>
      </w:r>
      <w:r>
        <w:t xml:space="preserve"> </w:t>
      </w:r>
      <w:r>
        <w:rPr>
          <w:lang w:val="en-ZA"/>
        </w:rPr>
        <w:t xml:space="preserve"> 89/1998.</w:t>
      </w:r>
    </w:p>
  </w:footnote>
  <w:footnote w:id="43">
    <w:p w:rsidR="00BB3699" w:rsidRPr="004C0022" w:rsidRDefault="00BB3699" w:rsidP="0079546F">
      <w:pPr>
        <w:pStyle w:val="FootnoteText"/>
        <w:rPr>
          <w:lang w:val="en-US"/>
        </w:rPr>
      </w:pPr>
      <w:r>
        <w:rPr>
          <w:rStyle w:val="FootnoteReference"/>
        </w:rPr>
        <w:footnoteRef/>
      </w:r>
      <w:r>
        <w:t xml:space="preserve">  </w:t>
      </w:r>
      <w:r>
        <w:rPr>
          <w:lang w:val="en-US"/>
        </w:rPr>
        <w:t>89/1998.</w:t>
      </w:r>
    </w:p>
  </w:footnote>
  <w:footnote w:id="44">
    <w:p w:rsidR="00BB3699" w:rsidRPr="00B722EB" w:rsidRDefault="00BB3699" w:rsidP="0079546F">
      <w:pPr>
        <w:pStyle w:val="FootnoteText"/>
        <w:rPr>
          <w:lang w:val="en-US"/>
        </w:rPr>
      </w:pPr>
      <w:r>
        <w:rPr>
          <w:rStyle w:val="FootnoteReference"/>
        </w:rPr>
        <w:footnoteRef/>
      </w:r>
      <w:r>
        <w:t xml:space="preserve"> </w:t>
      </w:r>
      <w:r>
        <w:rPr>
          <w:lang w:val="en-US"/>
        </w:rPr>
        <w:t xml:space="preserve"> 89/1998.</w:t>
      </w:r>
    </w:p>
  </w:footnote>
  <w:footnote w:id="45">
    <w:p w:rsidR="00BB3699" w:rsidRPr="00072990" w:rsidRDefault="00BB3699" w:rsidP="0079546F">
      <w:pPr>
        <w:pStyle w:val="FootnoteText"/>
        <w:rPr>
          <w:lang w:val="en-US"/>
        </w:rPr>
      </w:pPr>
      <w:r>
        <w:rPr>
          <w:rStyle w:val="FootnoteReference"/>
        </w:rPr>
        <w:footnoteRef/>
      </w:r>
      <w:r>
        <w:t xml:space="preserve"> </w:t>
      </w:r>
      <w:r>
        <w:rPr>
          <w:lang w:val="en-US"/>
        </w:rPr>
        <w:t xml:space="preserve"> 89/1998.</w:t>
      </w:r>
    </w:p>
  </w:footnote>
  <w:footnote w:id="46">
    <w:p w:rsidR="00BB3699" w:rsidRPr="00171BA0" w:rsidRDefault="00BB3699" w:rsidP="0079546F">
      <w:pPr>
        <w:pStyle w:val="FootnoteText"/>
        <w:rPr>
          <w:lang w:val="en-US"/>
        </w:rPr>
      </w:pPr>
      <w:r>
        <w:rPr>
          <w:rStyle w:val="FootnoteReference"/>
        </w:rPr>
        <w:footnoteRef/>
      </w:r>
      <w:r>
        <w:t xml:space="preserve"> </w:t>
      </w:r>
      <w:r>
        <w:rPr>
          <w:lang w:val="en-US"/>
        </w:rPr>
        <w:t xml:space="preserve"> 89/1998.</w:t>
      </w:r>
    </w:p>
  </w:footnote>
  <w:footnote w:id="47">
    <w:p w:rsidR="00BB3699" w:rsidRPr="00171BA0" w:rsidRDefault="00BB3699" w:rsidP="0079546F">
      <w:pPr>
        <w:pStyle w:val="FootnoteText"/>
        <w:rPr>
          <w:lang w:val="en-US"/>
        </w:rPr>
      </w:pPr>
      <w:r>
        <w:rPr>
          <w:rStyle w:val="FootnoteReference"/>
        </w:rPr>
        <w:footnoteRef/>
      </w:r>
      <w:r>
        <w:t xml:space="preserve">  </w:t>
      </w:r>
      <w:r>
        <w:rPr>
          <w:lang w:val="en-US"/>
        </w:rPr>
        <w:t>89/1998.</w:t>
      </w:r>
    </w:p>
  </w:footnote>
  <w:footnote w:id="48">
    <w:p w:rsidR="00BB3699" w:rsidRPr="002A5502" w:rsidRDefault="00BB3699" w:rsidP="0079546F">
      <w:pPr>
        <w:pStyle w:val="FootnoteText"/>
        <w:rPr>
          <w:lang w:val="en-US"/>
        </w:rPr>
      </w:pPr>
      <w:r>
        <w:rPr>
          <w:rStyle w:val="FootnoteReference"/>
        </w:rPr>
        <w:footnoteRef/>
      </w:r>
      <w:r>
        <w:t xml:space="preserve"> </w:t>
      </w:r>
      <w:r>
        <w:rPr>
          <w:lang w:val="en-US"/>
        </w:rPr>
        <w:t xml:space="preserve"> </w:t>
      </w:r>
      <w:r w:rsidRPr="006619DB">
        <w:t>The Competition Act 89 of 1998 allows for 3 separate defences with regard to rule of reason prohibitions namely efficiency, technological and other pro competitive gains. These 3 defences are cumulatively known as the efficiency defence. See section 4, 5, 8, 10A and 12 of the Competition Act 89</w:t>
      </w:r>
      <w:r>
        <w:t>/</w:t>
      </w:r>
      <w:r w:rsidRPr="006619DB">
        <w:t xml:space="preserve">1998 </w:t>
      </w:r>
      <w:r>
        <w:t>and</w:t>
      </w:r>
      <w:r w:rsidRPr="006619DB">
        <w:t xml:space="preserve"> Neuhoff </w:t>
      </w:r>
      <w:r w:rsidRPr="006619DB">
        <w:rPr>
          <w:i/>
        </w:rPr>
        <w:t>et al</w:t>
      </w:r>
      <w:r w:rsidRPr="006619DB">
        <w:t xml:space="preserve"> 2006: 15-16, 53-57 for additional information</w:t>
      </w:r>
      <w:r>
        <w:rPr>
          <w:lang w:val="en-US"/>
        </w:rPr>
        <w:t>.</w:t>
      </w:r>
    </w:p>
  </w:footnote>
  <w:footnote w:id="49">
    <w:p w:rsidR="00BB3699" w:rsidRPr="00AB43E6" w:rsidRDefault="00BB3699" w:rsidP="0079546F">
      <w:pPr>
        <w:pStyle w:val="FootnoteText"/>
        <w:rPr>
          <w:lang w:val="en-US"/>
        </w:rPr>
      </w:pPr>
      <w:r>
        <w:rPr>
          <w:rStyle w:val="FootnoteReference"/>
        </w:rPr>
        <w:footnoteRef/>
      </w:r>
      <w:r>
        <w:t xml:space="preserve"> </w:t>
      </w:r>
      <w:r>
        <w:rPr>
          <w:lang w:val="en-US"/>
        </w:rPr>
        <w:t xml:space="preserve"> Competition in this paper is defined as any conduct that falls under the scope of the South African Competition Act 89 of 1998 as well as any other similar legislation found in other jurisdictions. </w:t>
      </w:r>
    </w:p>
  </w:footnote>
  <w:footnote w:id="50">
    <w:p w:rsidR="00BB3699" w:rsidRPr="006619DB" w:rsidRDefault="00BB3699" w:rsidP="0079546F">
      <w:pPr>
        <w:pStyle w:val="FootnoteText"/>
        <w:rPr>
          <w:lang w:val="en-US"/>
        </w:rPr>
      </w:pPr>
      <w:r>
        <w:rPr>
          <w:rStyle w:val="FootnoteReference"/>
        </w:rPr>
        <w:footnoteRef/>
      </w:r>
      <w:r>
        <w:t xml:space="preserve"> </w:t>
      </w:r>
      <w:r>
        <w:rPr>
          <w:lang w:val="en-US"/>
        </w:rPr>
        <w:t xml:space="preserve"> 89/1998.</w:t>
      </w:r>
    </w:p>
  </w:footnote>
  <w:footnote w:id="51">
    <w:p w:rsidR="00BB3699" w:rsidRPr="00E545EF" w:rsidRDefault="00BB3699" w:rsidP="0079546F">
      <w:pPr>
        <w:pStyle w:val="FootnoteText"/>
        <w:rPr>
          <w:lang w:val="en-US"/>
        </w:rPr>
      </w:pPr>
      <w:r>
        <w:rPr>
          <w:rStyle w:val="FootnoteReference"/>
        </w:rPr>
        <w:footnoteRef/>
      </w:r>
      <w:r>
        <w:t xml:space="preserve"> </w:t>
      </w:r>
      <w:r>
        <w:rPr>
          <w:lang w:val="en-US"/>
        </w:rPr>
        <w:t xml:space="preserve"> 89/1998.</w:t>
      </w:r>
    </w:p>
  </w:footnote>
  <w:footnote w:id="52">
    <w:p w:rsidR="00BB3699" w:rsidRPr="002B1712" w:rsidRDefault="00BB3699" w:rsidP="0079546F">
      <w:pPr>
        <w:pStyle w:val="FootnoteText"/>
        <w:rPr>
          <w:lang w:val="en-US"/>
        </w:rPr>
      </w:pPr>
      <w:r>
        <w:rPr>
          <w:rStyle w:val="FootnoteReference"/>
        </w:rPr>
        <w:footnoteRef/>
      </w:r>
      <w:r>
        <w:t xml:space="preserve"> </w:t>
      </w:r>
      <w:r>
        <w:rPr>
          <w:lang w:val="en-US"/>
        </w:rPr>
        <w:t xml:space="preserve"> Competition Act 89/1998: sec 8(c)-8(d).</w:t>
      </w:r>
    </w:p>
  </w:footnote>
  <w:footnote w:id="53">
    <w:p w:rsidR="00BB3699" w:rsidRPr="00E545EF" w:rsidRDefault="00BB3699" w:rsidP="0079546F">
      <w:pPr>
        <w:pStyle w:val="FootnoteText"/>
        <w:rPr>
          <w:lang w:val="en-US"/>
        </w:rPr>
      </w:pPr>
      <w:r>
        <w:rPr>
          <w:rStyle w:val="FootnoteReference"/>
        </w:rPr>
        <w:footnoteRef/>
      </w:r>
      <w:r>
        <w:t xml:space="preserve"> </w:t>
      </w:r>
      <w:r>
        <w:rPr>
          <w:lang w:val="en-US"/>
        </w:rPr>
        <w:t xml:space="preserve"> 89/1998.</w:t>
      </w:r>
    </w:p>
  </w:footnote>
  <w:footnote w:id="54">
    <w:p w:rsidR="00BB3699" w:rsidRPr="008E7FBB" w:rsidRDefault="00BB3699" w:rsidP="0079546F">
      <w:pPr>
        <w:pStyle w:val="FootnoteText"/>
        <w:rPr>
          <w:lang w:val="en-US"/>
        </w:rPr>
      </w:pPr>
      <w:r>
        <w:rPr>
          <w:rStyle w:val="FootnoteReference"/>
        </w:rPr>
        <w:footnoteRef/>
      </w:r>
      <w:r>
        <w:t xml:space="preserve"> </w:t>
      </w:r>
      <w:r>
        <w:rPr>
          <w:lang w:val="en-US"/>
        </w:rPr>
        <w:t xml:space="preserve"> Anti competitive effects refer to any conduct that prevents or lessens competition in the relevant market. See the Competition Act 89/1998: sec 4, 5, 8,12 and Neuhoff </w:t>
      </w:r>
      <w:r w:rsidRPr="002A5502">
        <w:rPr>
          <w:i/>
          <w:lang w:val="en-US"/>
        </w:rPr>
        <w:t>et al</w:t>
      </w:r>
      <w:r>
        <w:rPr>
          <w:lang w:val="en-US"/>
        </w:rPr>
        <w:t xml:space="preserve"> 2006: 50-51 for more information.  </w:t>
      </w:r>
    </w:p>
  </w:footnote>
  <w:footnote w:id="55">
    <w:p w:rsidR="00BB3699" w:rsidRPr="00857C1F" w:rsidRDefault="00BB3699" w:rsidP="0079546F">
      <w:pPr>
        <w:pStyle w:val="FootnoteText"/>
        <w:rPr>
          <w:lang w:val="en-US"/>
        </w:rPr>
      </w:pPr>
      <w:r>
        <w:rPr>
          <w:rStyle w:val="FootnoteReference"/>
        </w:rPr>
        <w:footnoteRef/>
      </w:r>
      <w:r>
        <w:t xml:space="preserve"> </w:t>
      </w:r>
      <w:r>
        <w:rPr>
          <w:lang w:val="en-US"/>
        </w:rPr>
        <w:t xml:space="preserve"> Note that efficiencies in this instance refer only to efficiencies and not to technological and/or other pro competitive gains.</w:t>
      </w:r>
    </w:p>
  </w:footnote>
  <w:footnote w:id="56">
    <w:p w:rsidR="00BB3699" w:rsidRPr="00857C1F" w:rsidRDefault="00BB3699" w:rsidP="0079546F">
      <w:pPr>
        <w:pStyle w:val="FootnoteText"/>
        <w:rPr>
          <w:lang w:val="en-US"/>
        </w:rPr>
      </w:pPr>
      <w:r>
        <w:rPr>
          <w:rStyle w:val="FootnoteReference"/>
        </w:rPr>
        <w:footnoteRef/>
      </w:r>
      <w:r>
        <w:t xml:space="preserve"> </w:t>
      </w:r>
      <w:r>
        <w:rPr>
          <w:lang w:val="en-US"/>
        </w:rPr>
        <w:t xml:space="preserve">Only real efficiencies are regarded as valid for the efficiency defense. For more information see Neuhoff </w:t>
      </w:r>
      <w:r w:rsidRPr="002A5502">
        <w:rPr>
          <w:i/>
          <w:lang w:val="en-US"/>
        </w:rPr>
        <w:t>et al</w:t>
      </w:r>
      <w:r>
        <w:rPr>
          <w:lang w:val="en-US"/>
        </w:rPr>
        <w:t xml:space="preserve"> 2006: 56 and Trident Steel (Pty) Ltd/Dorbyl Ltd case 89/LM/Oct00. Note that it is outside the scope of this question to define real efficiencies. </w:t>
      </w:r>
    </w:p>
  </w:footnote>
  <w:footnote w:id="57">
    <w:p w:rsidR="00BB3699" w:rsidRPr="00193D91" w:rsidRDefault="00BB3699" w:rsidP="0079546F">
      <w:pPr>
        <w:pStyle w:val="FootnoteText"/>
      </w:pPr>
      <w:r w:rsidRPr="00193D91">
        <w:rPr>
          <w:rStyle w:val="FootnoteReference"/>
        </w:rPr>
        <w:footnoteRef/>
      </w:r>
      <w:r w:rsidRPr="00193D91">
        <w:t xml:space="preserve"> The efficiencies regarded as real efficiencies by the competition authorities of the United States of America, Canada and the European Union.</w:t>
      </w:r>
    </w:p>
  </w:footnote>
  <w:footnote w:id="58">
    <w:p w:rsidR="00BB3699" w:rsidRPr="00193D91" w:rsidRDefault="00BB3699" w:rsidP="0079546F">
      <w:pPr>
        <w:pStyle w:val="FootnoteText"/>
      </w:pPr>
      <w:r w:rsidRPr="00193D91">
        <w:rPr>
          <w:rStyle w:val="FootnoteReference"/>
        </w:rPr>
        <w:footnoteRef/>
      </w:r>
      <w:r w:rsidRPr="00193D91">
        <w:t xml:space="preserve">  </w:t>
      </w:r>
      <w:r>
        <w:t>Efficiencies are</w:t>
      </w:r>
      <w:r w:rsidRPr="00193D91">
        <w:t xml:space="preserve"> not considered in this section.</w:t>
      </w:r>
    </w:p>
  </w:footnote>
  <w:footnote w:id="59">
    <w:p w:rsidR="00BB3699" w:rsidRPr="00193D91" w:rsidRDefault="00BB3699" w:rsidP="0079546F">
      <w:pPr>
        <w:pStyle w:val="FootnoteText"/>
      </w:pPr>
      <w:r w:rsidRPr="00193D91">
        <w:rPr>
          <w:rStyle w:val="FootnoteReference"/>
        </w:rPr>
        <w:footnoteRef/>
      </w:r>
      <w:r w:rsidRPr="00193D91">
        <w:t xml:space="preserve">  The technological and other pro competitive gains </w:t>
      </w:r>
      <w:r>
        <w:t>recognis</w:t>
      </w:r>
      <w:r w:rsidRPr="00193D91">
        <w:t>ed as valid for the efficiency defence by the competition authorities of the United States of America, Canada and the European Union.</w:t>
      </w:r>
    </w:p>
  </w:footnote>
  <w:footnote w:id="60">
    <w:p w:rsidR="00BB3699" w:rsidRPr="00193D91" w:rsidRDefault="00BB3699" w:rsidP="0079546F">
      <w:pPr>
        <w:pStyle w:val="FootnoteText"/>
      </w:pPr>
      <w:r w:rsidRPr="00193D91">
        <w:rPr>
          <w:rStyle w:val="FootnoteReference"/>
        </w:rPr>
        <w:footnoteRef/>
      </w:r>
      <w:r w:rsidRPr="00193D91">
        <w:t xml:space="preserve">  </w:t>
      </w:r>
      <w:r>
        <w:t xml:space="preserve">The way in which the anti-competitive effects are balanced against the efficiency defence by the competition authorities </w:t>
      </w:r>
      <w:r w:rsidRPr="00193D91">
        <w:t>of the United States of America, Canada and the European Union.</w:t>
      </w:r>
    </w:p>
  </w:footnote>
  <w:footnote w:id="61">
    <w:p w:rsidR="00BB3699" w:rsidRPr="00B50494" w:rsidRDefault="00BB3699" w:rsidP="0079546F">
      <w:pPr>
        <w:pStyle w:val="FootnoteText"/>
        <w:rPr>
          <w:lang w:val="en-US"/>
        </w:rPr>
      </w:pPr>
      <w:r>
        <w:rPr>
          <w:rStyle w:val="FootnoteReference"/>
        </w:rPr>
        <w:footnoteRef/>
      </w:r>
      <w:r>
        <w:t xml:space="preserve"> </w:t>
      </w:r>
      <w:r>
        <w:rPr>
          <w:lang w:val="en-US"/>
        </w:rPr>
        <w:t xml:space="preserve">The application of the efficiency </w:t>
      </w:r>
      <w:r w:rsidRPr="00B50494">
        <w:t>defence</w:t>
      </w:r>
      <w:r>
        <w:rPr>
          <w:lang w:val="en-US"/>
        </w:rPr>
        <w:t xml:space="preserve"> could either </w:t>
      </w:r>
      <w:r w:rsidRPr="006E48CE">
        <w:t>favour</w:t>
      </w:r>
      <w:r>
        <w:rPr>
          <w:lang w:val="en-US"/>
        </w:rPr>
        <w:t xml:space="preserve"> producers, consumers or the economic society as whole. For more information see Neuhoff </w:t>
      </w:r>
      <w:r w:rsidRPr="002A5502">
        <w:rPr>
          <w:i/>
          <w:lang w:val="en-US"/>
        </w:rPr>
        <w:t>et al</w:t>
      </w:r>
      <w:r>
        <w:rPr>
          <w:lang w:val="en-US"/>
        </w:rPr>
        <w:t xml:space="preserve"> 2006: 57 and Trident Steel (Pty) Ltd/Dorbyl Ltd case 89/LM/Oct00.</w:t>
      </w:r>
    </w:p>
  </w:footnote>
  <w:footnote w:id="62">
    <w:p w:rsidR="00BB3699" w:rsidRPr="00193D91" w:rsidRDefault="00BB3699" w:rsidP="0079546F">
      <w:pPr>
        <w:pStyle w:val="FootnoteText"/>
      </w:pPr>
      <w:r w:rsidRPr="00193D91">
        <w:rPr>
          <w:rStyle w:val="FootnoteReference"/>
        </w:rPr>
        <w:footnoteRef/>
      </w:r>
      <w:r w:rsidRPr="00193D91">
        <w:t xml:space="preserve">  </w:t>
      </w:r>
      <w:r>
        <w:t xml:space="preserve">In whose favour the efficiency defence are interpreted and implemented by the competition authorities of </w:t>
      </w:r>
      <w:r w:rsidRPr="00193D91">
        <w:t>the United States of America, Canada and the European Union</w:t>
      </w:r>
      <w:r>
        <w:t>.</w:t>
      </w:r>
    </w:p>
  </w:footnote>
  <w:footnote w:id="63">
    <w:p w:rsidR="00BB3699" w:rsidRPr="007B279B" w:rsidRDefault="00BB3699" w:rsidP="0079546F">
      <w:pPr>
        <w:pStyle w:val="FootnoteText"/>
      </w:pPr>
      <w:r>
        <w:rPr>
          <w:rStyle w:val="FootnoteReference"/>
        </w:rPr>
        <w:footnoteRef/>
      </w:r>
      <w:r>
        <w:t xml:space="preserve"> </w:t>
      </w:r>
      <w:r w:rsidRPr="007B279B">
        <w:t xml:space="preserve">An interpretation and implementation of the efficiency defence which does not favour the consumer could </w:t>
      </w:r>
      <w:r>
        <w:t xml:space="preserve">be </w:t>
      </w:r>
      <w:r w:rsidRPr="007B279B">
        <w:t>argued to be contrary to the purpose of the Competition Act 89/1998</w:t>
      </w:r>
      <w:r>
        <w:t xml:space="preserve"> and thus ultra vires</w:t>
      </w:r>
      <w:r w:rsidRPr="007B279B">
        <w:t>. For more information, see the Competi</w:t>
      </w:r>
      <w:r>
        <w:t>ti</w:t>
      </w:r>
      <w:r w:rsidRPr="007B279B">
        <w:t xml:space="preserve">on Act 89/1998: sec 2 and Neuhoff </w:t>
      </w:r>
      <w:r w:rsidRPr="007B279B">
        <w:rPr>
          <w:i/>
        </w:rPr>
        <w:t>et al</w:t>
      </w:r>
      <w:r w:rsidRPr="007B279B">
        <w:t xml:space="preserve"> 2006: 13.</w:t>
      </w:r>
    </w:p>
  </w:footnote>
  <w:footnote w:id="64">
    <w:p w:rsidR="00BB3699" w:rsidRPr="007B279B" w:rsidRDefault="00BB3699" w:rsidP="0079546F">
      <w:pPr>
        <w:pStyle w:val="FootnoteText"/>
      </w:pPr>
      <w:r w:rsidRPr="007B279B">
        <w:rPr>
          <w:rStyle w:val="FootnoteReference"/>
        </w:rPr>
        <w:footnoteRef/>
      </w:r>
      <w:r w:rsidRPr="007B279B">
        <w:t xml:space="preserve"> Only South Africa and Canada have an</w:t>
      </w:r>
      <w:r>
        <w:t xml:space="preserve"> efficiency defence. In other countries, the competition authorities consider any efficiencies during their analysis of the potential anti-competitive effects of the specific conduct.</w:t>
      </w:r>
    </w:p>
  </w:footnote>
  <w:footnote w:id="65">
    <w:p w:rsidR="00BB3699" w:rsidRPr="007B279B" w:rsidRDefault="00BB3699" w:rsidP="0079546F">
      <w:pPr>
        <w:pStyle w:val="FootnoteText"/>
        <w:rPr>
          <w:lang w:val="en-US"/>
        </w:rPr>
      </w:pPr>
      <w:r>
        <w:rPr>
          <w:rStyle w:val="FootnoteReference"/>
        </w:rPr>
        <w:footnoteRef/>
      </w:r>
      <w:r>
        <w:t xml:space="preserve"> </w:t>
      </w:r>
      <w:r>
        <w:rPr>
          <w:lang w:val="en-US"/>
        </w:rPr>
        <w:t xml:space="preserve">The alternative would be to consider any potential efficiency gains that may result from the specific conduct during the competition authorities’ analysis of the potential anti-competitive effects of the aforementioned conduct.  </w:t>
      </w:r>
    </w:p>
  </w:footnote>
  <w:footnote w:id="66">
    <w:p w:rsidR="00BB3699" w:rsidRPr="00B73C96" w:rsidRDefault="00BB3699" w:rsidP="0079546F">
      <w:pPr>
        <w:pStyle w:val="FootnoteText"/>
        <w:rPr>
          <w:lang w:val="en-US"/>
        </w:rPr>
      </w:pPr>
      <w:r>
        <w:rPr>
          <w:rStyle w:val="FootnoteReference"/>
        </w:rPr>
        <w:footnoteRef/>
      </w:r>
      <w:r>
        <w:t xml:space="preserve"> </w:t>
      </w:r>
      <w:r>
        <w:rPr>
          <w:lang w:val="en-US"/>
        </w:rPr>
        <w:t xml:space="preserve">Section 12 permits the competition authorities of South Africa to approve or prohibit a merger on public interest grounds irrespective of the anti-competitive effects, efficiency, technological or other pro-competitive gains associated with the merger. For more information, see </w:t>
      </w:r>
      <w:r w:rsidRPr="007B279B">
        <w:t>the Competi</w:t>
      </w:r>
      <w:r>
        <w:t>ti</w:t>
      </w:r>
      <w:r w:rsidRPr="007B279B">
        <w:t>on Act 89/1998: sec</w:t>
      </w:r>
      <w:r>
        <w:t xml:space="preserve"> 12.</w:t>
      </w:r>
    </w:p>
  </w:footnote>
  <w:footnote w:id="67">
    <w:p w:rsidR="00BB3699" w:rsidRPr="007A6312" w:rsidRDefault="00BB3699" w:rsidP="0079546F">
      <w:pPr>
        <w:pStyle w:val="FootnoteText"/>
        <w:rPr>
          <w:lang w:val="en-US"/>
        </w:rPr>
      </w:pPr>
      <w:r>
        <w:rPr>
          <w:rStyle w:val="FootnoteReference"/>
        </w:rPr>
        <w:footnoteRef/>
      </w:r>
      <w:r>
        <w:t xml:space="preserve"> </w:t>
      </w:r>
      <w:r>
        <w:rPr>
          <w:lang w:val="en-US"/>
        </w:rPr>
        <w:t>89/1998.</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en-GB" w:vendorID="64" w:dllVersion="131078" w:nlCheck="1" w:checkStyle="0"/>
  <w:activeWritingStyle w:appName="MSWord" w:lang="en-ZA" w:vendorID="64" w:dllVersion="131078" w:nlCheck="1" w:checkStyle="1"/>
  <w:activeWritingStyle w:appName="MSWord" w:lang="en-US" w:vendorID="64" w:dllVersion="131078" w:nlCheck="1" w:checkStyle="1"/>
  <w:defaultTabStop w:val="720"/>
  <w:characterSpacingControl w:val="doNotCompress"/>
  <w:footnotePr>
    <w:footnote w:id="0"/>
    <w:footnote w:id="1"/>
  </w:footnotePr>
  <w:endnotePr>
    <w:endnote w:id="0"/>
    <w:endnote w:id="1"/>
  </w:endnotePr>
  <w:compat>
    <w:useFELayout/>
  </w:compat>
  <w:rsids>
    <w:rsidRoot w:val="008632C7"/>
    <w:rsid w:val="00007F7C"/>
    <w:rsid w:val="00023417"/>
    <w:rsid w:val="00044F62"/>
    <w:rsid w:val="000640FD"/>
    <w:rsid w:val="0006426A"/>
    <w:rsid w:val="000769B5"/>
    <w:rsid w:val="00082517"/>
    <w:rsid w:val="00090EBB"/>
    <w:rsid w:val="00096F7B"/>
    <w:rsid w:val="000C59DA"/>
    <w:rsid w:val="000D04F1"/>
    <w:rsid w:val="000D4EBF"/>
    <w:rsid w:val="000E6201"/>
    <w:rsid w:val="001075A1"/>
    <w:rsid w:val="00122F54"/>
    <w:rsid w:val="00125AD4"/>
    <w:rsid w:val="00135260"/>
    <w:rsid w:val="00151B0E"/>
    <w:rsid w:val="00162565"/>
    <w:rsid w:val="00162646"/>
    <w:rsid w:val="00164910"/>
    <w:rsid w:val="00167DEE"/>
    <w:rsid w:val="00175C51"/>
    <w:rsid w:val="001A4E88"/>
    <w:rsid w:val="001B5194"/>
    <w:rsid w:val="001D0F01"/>
    <w:rsid w:val="001D3036"/>
    <w:rsid w:val="001D3FA2"/>
    <w:rsid w:val="00200EE8"/>
    <w:rsid w:val="00203993"/>
    <w:rsid w:val="002250B1"/>
    <w:rsid w:val="002319CB"/>
    <w:rsid w:val="0025417C"/>
    <w:rsid w:val="0027026B"/>
    <w:rsid w:val="00272375"/>
    <w:rsid w:val="002772DA"/>
    <w:rsid w:val="002A00AD"/>
    <w:rsid w:val="002B5C03"/>
    <w:rsid w:val="002C6B5A"/>
    <w:rsid w:val="002C732F"/>
    <w:rsid w:val="002D768D"/>
    <w:rsid w:val="002E0D53"/>
    <w:rsid w:val="002E7196"/>
    <w:rsid w:val="002F236A"/>
    <w:rsid w:val="002F4C3A"/>
    <w:rsid w:val="00302492"/>
    <w:rsid w:val="0032165F"/>
    <w:rsid w:val="003327CC"/>
    <w:rsid w:val="00343134"/>
    <w:rsid w:val="0037028B"/>
    <w:rsid w:val="0038350F"/>
    <w:rsid w:val="00387F1D"/>
    <w:rsid w:val="00395447"/>
    <w:rsid w:val="003A0F33"/>
    <w:rsid w:val="003B0C97"/>
    <w:rsid w:val="003B0DDD"/>
    <w:rsid w:val="003B39AA"/>
    <w:rsid w:val="003B4177"/>
    <w:rsid w:val="003B752E"/>
    <w:rsid w:val="003C722A"/>
    <w:rsid w:val="003F02F9"/>
    <w:rsid w:val="00431350"/>
    <w:rsid w:val="004442EA"/>
    <w:rsid w:val="00473868"/>
    <w:rsid w:val="00475E4D"/>
    <w:rsid w:val="0049248F"/>
    <w:rsid w:val="004A14A3"/>
    <w:rsid w:val="004A763A"/>
    <w:rsid w:val="004B02C9"/>
    <w:rsid w:val="004B1ABD"/>
    <w:rsid w:val="004B408F"/>
    <w:rsid w:val="004C1B6D"/>
    <w:rsid w:val="004C3D94"/>
    <w:rsid w:val="004F1763"/>
    <w:rsid w:val="004F1D7C"/>
    <w:rsid w:val="00514C29"/>
    <w:rsid w:val="005278A5"/>
    <w:rsid w:val="00543644"/>
    <w:rsid w:val="0055550E"/>
    <w:rsid w:val="00557ED3"/>
    <w:rsid w:val="00580399"/>
    <w:rsid w:val="00580886"/>
    <w:rsid w:val="00583D89"/>
    <w:rsid w:val="00585F04"/>
    <w:rsid w:val="005D47FB"/>
    <w:rsid w:val="005E1854"/>
    <w:rsid w:val="005E77F2"/>
    <w:rsid w:val="005F26E9"/>
    <w:rsid w:val="005F63D5"/>
    <w:rsid w:val="0060145C"/>
    <w:rsid w:val="00602ADD"/>
    <w:rsid w:val="00604228"/>
    <w:rsid w:val="00612050"/>
    <w:rsid w:val="006125A6"/>
    <w:rsid w:val="006212C9"/>
    <w:rsid w:val="00630AD1"/>
    <w:rsid w:val="006422F8"/>
    <w:rsid w:val="00646E57"/>
    <w:rsid w:val="00654C00"/>
    <w:rsid w:val="00674A8C"/>
    <w:rsid w:val="006760FA"/>
    <w:rsid w:val="00685803"/>
    <w:rsid w:val="00694D67"/>
    <w:rsid w:val="006B17D2"/>
    <w:rsid w:val="006B29C0"/>
    <w:rsid w:val="006C498E"/>
    <w:rsid w:val="006C4A9A"/>
    <w:rsid w:val="006F39BB"/>
    <w:rsid w:val="00710CB9"/>
    <w:rsid w:val="00726C93"/>
    <w:rsid w:val="007309DC"/>
    <w:rsid w:val="00744C29"/>
    <w:rsid w:val="00754B4E"/>
    <w:rsid w:val="00764D30"/>
    <w:rsid w:val="007766D2"/>
    <w:rsid w:val="00781085"/>
    <w:rsid w:val="00790CB2"/>
    <w:rsid w:val="0079546F"/>
    <w:rsid w:val="007B0BF6"/>
    <w:rsid w:val="007F11EA"/>
    <w:rsid w:val="007F4179"/>
    <w:rsid w:val="00810A40"/>
    <w:rsid w:val="00811405"/>
    <w:rsid w:val="00815C93"/>
    <w:rsid w:val="0081611A"/>
    <w:rsid w:val="008339B0"/>
    <w:rsid w:val="00847850"/>
    <w:rsid w:val="00855F58"/>
    <w:rsid w:val="008632C7"/>
    <w:rsid w:val="00876DFB"/>
    <w:rsid w:val="00895F75"/>
    <w:rsid w:val="008A2C8A"/>
    <w:rsid w:val="008C190E"/>
    <w:rsid w:val="008C1EFD"/>
    <w:rsid w:val="008E71AB"/>
    <w:rsid w:val="008F0685"/>
    <w:rsid w:val="009026E5"/>
    <w:rsid w:val="00906E6C"/>
    <w:rsid w:val="00907BB7"/>
    <w:rsid w:val="00913282"/>
    <w:rsid w:val="00917FE2"/>
    <w:rsid w:val="00932C4A"/>
    <w:rsid w:val="009406C7"/>
    <w:rsid w:val="00942376"/>
    <w:rsid w:val="009564C9"/>
    <w:rsid w:val="009670F0"/>
    <w:rsid w:val="00993DE5"/>
    <w:rsid w:val="009B061F"/>
    <w:rsid w:val="009B5ABF"/>
    <w:rsid w:val="009D1757"/>
    <w:rsid w:val="009D37D4"/>
    <w:rsid w:val="009E09E6"/>
    <w:rsid w:val="009E1EA1"/>
    <w:rsid w:val="009F1E18"/>
    <w:rsid w:val="009F58DB"/>
    <w:rsid w:val="009F5D4E"/>
    <w:rsid w:val="00A20F54"/>
    <w:rsid w:val="00A25636"/>
    <w:rsid w:val="00A42C60"/>
    <w:rsid w:val="00A43863"/>
    <w:rsid w:val="00A4736E"/>
    <w:rsid w:val="00A614BE"/>
    <w:rsid w:val="00A70290"/>
    <w:rsid w:val="00AD13A0"/>
    <w:rsid w:val="00AE3A10"/>
    <w:rsid w:val="00AE6F68"/>
    <w:rsid w:val="00AF0659"/>
    <w:rsid w:val="00AF3DDD"/>
    <w:rsid w:val="00AF57B4"/>
    <w:rsid w:val="00B01F01"/>
    <w:rsid w:val="00B33627"/>
    <w:rsid w:val="00B352D5"/>
    <w:rsid w:val="00B458F9"/>
    <w:rsid w:val="00B5607C"/>
    <w:rsid w:val="00B612CA"/>
    <w:rsid w:val="00B62DB8"/>
    <w:rsid w:val="00B67364"/>
    <w:rsid w:val="00B85E91"/>
    <w:rsid w:val="00BB3699"/>
    <w:rsid w:val="00BF0976"/>
    <w:rsid w:val="00C13C9E"/>
    <w:rsid w:val="00C2372E"/>
    <w:rsid w:val="00C55F8B"/>
    <w:rsid w:val="00C60137"/>
    <w:rsid w:val="00C637AD"/>
    <w:rsid w:val="00C82FBA"/>
    <w:rsid w:val="00CA503D"/>
    <w:rsid w:val="00CA7ED3"/>
    <w:rsid w:val="00CB2D57"/>
    <w:rsid w:val="00D00C53"/>
    <w:rsid w:val="00D0485B"/>
    <w:rsid w:val="00D05B15"/>
    <w:rsid w:val="00D41E0A"/>
    <w:rsid w:val="00D469A3"/>
    <w:rsid w:val="00D500D0"/>
    <w:rsid w:val="00D7402A"/>
    <w:rsid w:val="00D963EE"/>
    <w:rsid w:val="00DA2299"/>
    <w:rsid w:val="00DD2AB8"/>
    <w:rsid w:val="00DD3AC5"/>
    <w:rsid w:val="00DF3A99"/>
    <w:rsid w:val="00E04234"/>
    <w:rsid w:val="00E079FE"/>
    <w:rsid w:val="00E2095C"/>
    <w:rsid w:val="00E21D26"/>
    <w:rsid w:val="00E3475C"/>
    <w:rsid w:val="00E347C2"/>
    <w:rsid w:val="00E408F6"/>
    <w:rsid w:val="00E438E9"/>
    <w:rsid w:val="00E47ED4"/>
    <w:rsid w:val="00E501D9"/>
    <w:rsid w:val="00E65831"/>
    <w:rsid w:val="00E9040F"/>
    <w:rsid w:val="00E958BF"/>
    <w:rsid w:val="00EC0E5D"/>
    <w:rsid w:val="00EC3CE6"/>
    <w:rsid w:val="00EC4BA0"/>
    <w:rsid w:val="00EE3290"/>
    <w:rsid w:val="00EF3F34"/>
    <w:rsid w:val="00EF6A3A"/>
    <w:rsid w:val="00F003E3"/>
    <w:rsid w:val="00F5524E"/>
    <w:rsid w:val="00F626EC"/>
    <w:rsid w:val="00F64ED8"/>
    <w:rsid w:val="00F97E59"/>
    <w:rsid w:val="00FC7799"/>
    <w:rsid w:val="00FD694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en-ZA"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632C7"/>
    <w:pPr>
      <w:widowControl w:val="0"/>
      <w:tabs>
        <w:tab w:val="left" w:pos="709"/>
      </w:tabs>
      <w:suppressAutoHyphens/>
    </w:pPr>
    <w:rPr>
      <w:rFonts w:ascii="Times New Roman" w:eastAsia="SimSun" w:hAnsi="Times New Roman" w:cs="Mangal"/>
      <w:color w:val="00000A"/>
      <w:sz w:val="24"/>
      <w:szCs w:val="24"/>
      <w:lang w:val="en-GB"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rsid w:val="008632C7"/>
    <w:rPr>
      <w:rFonts w:ascii="OpenSymbol" w:eastAsia="OpenSymbol" w:hAnsi="OpenSymbol" w:cs="OpenSymbol"/>
    </w:rPr>
  </w:style>
  <w:style w:type="paragraph" w:customStyle="1" w:styleId="Heading">
    <w:name w:val="Heading"/>
    <w:basedOn w:val="Normal"/>
    <w:next w:val="Textbody"/>
    <w:rsid w:val="008632C7"/>
    <w:pPr>
      <w:keepNext/>
      <w:spacing w:before="240" w:after="120"/>
    </w:pPr>
    <w:rPr>
      <w:rFonts w:ascii="Arial" w:eastAsia="Microsoft YaHei" w:hAnsi="Arial"/>
      <w:sz w:val="28"/>
      <w:szCs w:val="28"/>
    </w:rPr>
  </w:style>
  <w:style w:type="paragraph" w:customStyle="1" w:styleId="Textbody">
    <w:name w:val="Text body"/>
    <w:basedOn w:val="Normal"/>
    <w:rsid w:val="008632C7"/>
    <w:pPr>
      <w:spacing w:after="120"/>
    </w:pPr>
  </w:style>
  <w:style w:type="paragraph" w:styleId="List">
    <w:name w:val="List"/>
    <w:basedOn w:val="Textbody"/>
    <w:rsid w:val="008632C7"/>
  </w:style>
  <w:style w:type="paragraph" w:styleId="Caption">
    <w:name w:val="caption"/>
    <w:basedOn w:val="Normal"/>
    <w:rsid w:val="008632C7"/>
    <w:pPr>
      <w:suppressLineNumbers/>
      <w:spacing w:before="120" w:after="120"/>
    </w:pPr>
    <w:rPr>
      <w:i/>
      <w:iCs/>
    </w:rPr>
  </w:style>
  <w:style w:type="paragraph" w:customStyle="1" w:styleId="Index">
    <w:name w:val="Index"/>
    <w:basedOn w:val="Normal"/>
    <w:rsid w:val="008632C7"/>
    <w:pPr>
      <w:suppressLineNumbers/>
    </w:pPr>
  </w:style>
  <w:style w:type="paragraph" w:styleId="FootnoteText">
    <w:name w:val="footnote text"/>
    <w:basedOn w:val="Normal"/>
    <w:link w:val="FootnoteTextChar"/>
    <w:uiPriority w:val="99"/>
    <w:semiHidden/>
    <w:unhideWhenUsed/>
    <w:rsid w:val="004B408F"/>
    <w:pPr>
      <w:spacing w:after="0" w:line="240" w:lineRule="auto"/>
    </w:pPr>
    <w:rPr>
      <w:sz w:val="20"/>
      <w:szCs w:val="18"/>
    </w:rPr>
  </w:style>
  <w:style w:type="character" w:customStyle="1" w:styleId="FootnoteTextChar">
    <w:name w:val="Footnote Text Char"/>
    <w:basedOn w:val="DefaultParagraphFont"/>
    <w:link w:val="FootnoteText"/>
    <w:uiPriority w:val="99"/>
    <w:semiHidden/>
    <w:rsid w:val="004B408F"/>
    <w:rPr>
      <w:rFonts w:ascii="Times New Roman" w:eastAsia="SimSun" w:hAnsi="Times New Roman" w:cs="Mangal"/>
      <w:color w:val="00000A"/>
      <w:sz w:val="20"/>
      <w:szCs w:val="18"/>
      <w:lang w:val="en-GB" w:eastAsia="zh-CN" w:bidi="hi-IN"/>
    </w:rPr>
  </w:style>
  <w:style w:type="character" w:styleId="FootnoteReference">
    <w:name w:val="footnote reference"/>
    <w:basedOn w:val="DefaultParagraphFont"/>
    <w:uiPriority w:val="99"/>
    <w:semiHidden/>
    <w:unhideWhenUsed/>
    <w:rsid w:val="004B408F"/>
    <w:rPr>
      <w:vertAlign w:val="superscript"/>
    </w:rPr>
  </w:style>
  <w:style w:type="table" w:styleId="TableGrid">
    <w:name w:val="Table Grid"/>
    <w:basedOn w:val="TableNormal"/>
    <w:uiPriority w:val="59"/>
    <w:rsid w:val="001649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790CB2"/>
    <w:rPr>
      <w:color w:val="0000FF" w:themeColor="hyperlink"/>
      <w:u w:val="single"/>
    </w:rPr>
  </w:style>
  <w:style w:type="character" w:styleId="HTMLCite">
    <w:name w:val="HTML Cite"/>
    <w:basedOn w:val="DefaultParagraphFont"/>
    <w:uiPriority w:val="99"/>
    <w:semiHidden/>
    <w:unhideWhenUsed/>
    <w:rsid w:val="00790CB2"/>
    <w:rPr>
      <w:i/>
      <w:iCs/>
    </w:rPr>
  </w:style>
  <w:style w:type="character" w:styleId="FollowedHyperlink">
    <w:name w:val="FollowedHyperlink"/>
    <w:basedOn w:val="DefaultParagraphFont"/>
    <w:uiPriority w:val="99"/>
    <w:semiHidden/>
    <w:unhideWhenUsed/>
    <w:rsid w:val="002250B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56B6B-12EB-419A-87EB-9083F0B21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1244</TotalTime>
  <Pages>20</Pages>
  <Words>4481</Words>
  <Characters>25548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Hannes</cp:lastModifiedBy>
  <cp:revision>374</cp:revision>
  <dcterms:created xsi:type="dcterms:W3CDTF">2011-02-24T10:28:00Z</dcterms:created>
  <dcterms:modified xsi:type="dcterms:W3CDTF">2011-03-16T12:51:00Z</dcterms:modified>
</cp:coreProperties>
</file>