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1E" w:rsidRPr="009E7638" w:rsidRDefault="005D7EEA" w:rsidP="00263C1E">
      <w:pPr>
        <w:pStyle w:val="Textkrper"/>
        <w:tabs>
          <w:tab w:val="left" w:pos="8364"/>
        </w:tabs>
        <w:spacing w:after="120" w:line="340" w:lineRule="atLeast"/>
        <w:ind w:right="-714"/>
        <w:rPr>
          <w:rFonts w:ascii="Arial" w:hAnsi="Arial"/>
          <w:sz w:val="22"/>
        </w:rPr>
      </w:pPr>
      <w:r>
        <w:rPr>
          <w:rFonts w:ascii="Arial" w:hAnsi="Arial"/>
          <w:sz w:val="22"/>
        </w:rPr>
        <w:t>Factsheet</w:t>
      </w:r>
    </w:p>
    <w:p w:rsidR="00263C1E" w:rsidRPr="00BF785E" w:rsidRDefault="00132F6B" w:rsidP="00263C1E">
      <w:pPr>
        <w:pStyle w:val="berschrift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9"/>
        </w:tabs>
        <w:spacing w:after="240"/>
        <w:ind w:right="357"/>
        <w:jc w:val="left"/>
        <w:rPr>
          <w:snapToGrid/>
          <w:sz w:val="24"/>
        </w:rPr>
      </w:pPr>
      <w:r>
        <w:rPr>
          <w:snapToGrid/>
          <w:sz w:val="24"/>
        </w:rPr>
        <w:t>Intranasales Fluticasonfuroat</w:t>
      </w:r>
      <w:r w:rsidR="005D59DB">
        <w:rPr>
          <w:snapToGrid/>
          <w:sz w:val="24"/>
        </w:rPr>
        <w:t xml:space="preserve"> (Avamys</w:t>
      </w:r>
      <w:r w:rsidR="00D0777C" w:rsidRPr="00D0777C">
        <w:rPr>
          <w:snapToGrid/>
          <w:sz w:val="24"/>
          <w:szCs w:val="24"/>
          <w:vertAlign w:val="superscript"/>
        </w:rPr>
        <w:t>®</w:t>
      </w:r>
      <w:r w:rsidR="005D59DB">
        <w:rPr>
          <w:snapToGrid/>
          <w:sz w:val="24"/>
        </w:rPr>
        <w:t>)</w:t>
      </w:r>
    </w:p>
    <w:p w:rsidR="00263C1E" w:rsidRPr="00BF785E" w:rsidRDefault="00263C1E" w:rsidP="00263C1E">
      <w:pPr>
        <w:pStyle w:val="Textkrper"/>
        <w:pBdr>
          <w:bottom w:val="single" w:sz="6" w:space="1" w:color="auto"/>
        </w:pBdr>
        <w:tabs>
          <w:tab w:val="left" w:pos="9072"/>
        </w:tabs>
        <w:ind w:right="-2"/>
        <w:rPr>
          <w:b w:val="0"/>
          <w:sz w:val="22"/>
          <w:szCs w:val="22"/>
        </w:rPr>
      </w:pPr>
    </w:p>
    <w:p w:rsidR="00263C1E" w:rsidRDefault="00263C1E" w:rsidP="00263C1E">
      <w:pPr>
        <w:pStyle w:val="berschrift1"/>
        <w:tabs>
          <w:tab w:val="left" w:pos="8789"/>
        </w:tabs>
        <w:ind w:right="-198"/>
        <w:rPr>
          <w:rFonts w:ascii="Agfa Rotis Semisans" w:hAnsi="Agfa Rotis Semisans"/>
          <w:sz w:val="22"/>
          <w:szCs w:val="22"/>
        </w:rPr>
      </w:pPr>
    </w:p>
    <w:p w:rsidR="00E474B0" w:rsidRPr="007C1E6F" w:rsidRDefault="00E474B0" w:rsidP="00E474B0">
      <w:pPr>
        <w:rPr>
          <w:spacing w:val="30"/>
          <w:szCs w:val="22"/>
        </w:rPr>
      </w:pPr>
      <w:r w:rsidRPr="007C1E6F">
        <w:rPr>
          <w:spacing w:val="30"/>
          <w:szCs w:val="22"/>
        </w:rPr>
        <w:t>Medikament gegen allergische Rhinitis</w:t>
      </w:r>
      <w:r w:rsidR="005D7EEA">
        <w:rPr>
          <w:spacing w:val="30"/>
          <w:szCs w:val="22"/>
        </w:rPr>
        <w:t xml:space="preserve"> (AR)</w:t>
      </w:r>
    </w:p>
    <w:p w:rsidR="00D7068D" w:rsidRPr="00E474B0" w:rsidRDefault="00D7068D" w:rsidP="00E474B0">
      <w:pPr>
        <w:rPr>
          <w:b/>
        </w:rPr>
      </w:pPr>
    </w:p>
    <w:p w:rsidR="003C1268" w:rsidRDefault="009A1D7F" w:rsidP="003C1268">
      <w:pPr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Fluticasonfuroat ist ein </w:t>
      </w:r>
      <w:r w:rsidR="00132F6B" w:rsidRPr="00132F6B">
        <w:rPr>
          <w:rFonts w:cs="Arial"/>
          <w:szCs w:val="22"/>
        </w:rPr>
        <w:t>intranasales Glukokortikoid mit verstärkter Affinität</w:t>
      </w:r>
      <w:r w:rsidR="0011210E">
        <w:rPr>
          <w:rFonts w:cs="Arial"/>
          <w:szCs w:val="22"/>
        </w:rPr>
        <w:t xml:space="preserve"> zum Glukokortikoid-Rezeptor</w:t>
      </w:r>
      <w:bookmarkStart w:id="0" w:name="_Ref251600969"/>
      <w:r w:rsidR="005201EE">
        <w:rPr>
          <w:rStyle w:val="Funotenzeichen"/>
          <w:rFonts w:cs="Arial"/>
          <w:szCs w:val="22"/>
        </w:rPr>
        <w:footnoteReference w:id="1"/>
      </w:r>
      <w:bookmarkEnd w:id="0"/>
    </w:p>
    <w:p w:rsidR="00132F6B" w:rsidRDefault="00E474B0" w:rsidP="003C1268">
      <w:pPr>
        <w:numPr>
          <w:ilvl w:val="0"/>
          <w:numId w:val="33"/>
        </w:numPr>
        <w:rPr>
          <w:rFonts w:cs="Arial"/>
          <w:szCs w:val="22"/>
        </w:rPr>
      </w:pPr>
      <w:r>
        <w:rPr>
          <w:rFonts w:cs="Arial"/>
          <w:szCs w:val="22"/>
        </w:rPr>
        <w:t>Das Medikament wurde europaweit am 1</w:t>
      </w:r>
      <w:r w:rsidR="0011210E">
        <w:rPr>
          <w:rFonts w:cs="Arial"/>
          <w:szCs w:val="22"/>
        </w:rPr>
        <w:t>4</w:t>
      </w:r>
      <w:r>
        <w:rPr>
          <w:rFonts w:cs="Arial"/>
          <w:szCs w:val="22"/>
        </w:rPr>
        <w:t>. Januar 2008 zur Behandlung der Sym</w:t>
      </w:r>
      <w:r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tome </w:t>
      </w:r>
      <w:r w:rsidR="005D7EEA">
        <w:rPr>
          <w:rFonts w:cs="Arial"/>
          <w:szCs w:val="22"/>
        </w:rPr>
        <w:t xml:space="preserve">AR </w:t>
      </w:r>
      <w:r>
        <w:rPr>
          <w:rFonts w:cs="Arial"/>
          <w:szCs w:val="22"/>
        </w:rPr>
        <w:t>zugelassen – für Erwachsene, Jugendliche (12 Jahre und älter) und Kinder im Alter von 6</w:t>
      </w:r>
      <w:r w:rsidR="0011210E">
        <w:rPr>
          <w:rFonts w:cs="Arial"/>
          <w:szCs w:val="22"/>
        </w:rPr>
        <w:t>-</w:t>
      </w:r>
      <w:r>
        <w:rPr>
          <w:rFonts w:cs="Arial"/>
          <w:szCs w:val="22"/>
        </w:rPr>
        <w:t>11 Jahren.</w:t>
      </w:r>
    </w:p>
    <w:p w:rsidR="00181EE5" w:rsidRPr="001D2559" w:rsidRDefault="00181EE5" w:rsidP="003C1268">
      <w:pPr>
        <w:numPr>
          <w:ilvl w:val="0"/>
          <w:numId w:val="33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Im Februar 2010 wurde der Preis um 25 % reduziert</w:t>
      </w:r>
    </w:p>
    <w:p w:rsidR="00A77B80" w:rsidRPr="001D2559" w:rsidRDefault="00A77B80" w:rsidP="003C1268">
      <w:pPr>
        <w:numPr>
          <w:ilvl w:val="0"/>
          <w:numId w:val="33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Avamys</w:t>
      </w:r>
      <w:r w:rsidRPr="001D2559">
        <w:rPr>
          <w:rFonts w:cs="Arial"/>
          <w:szCs w:val="22"/>
          <w:vertAlign w:val="superscript"/>
        </w:rPr>
        <w:t>®</w:t>
      </w:r>
      <w:r w:rsidRPr="001D2559">
        <w:rPr>
          <w:rFonts w:cs="Arial"/>
          <w:szCs w:val="22"/>
        </w:rPr>
        <w:t xml:space="preserve"> ist eine nachgewiesen effiziente und gut verträgliche Behandlungsoption der Nasen- und Augensymptomatik bei AR:</w:t>
      </w:r>
    </w:p>
    <w:p w:rsidR="00A77B80" w:rsidRPr="001D2559" w:rsidRDefault="00A77B80" w:rsidP="00A77B80">
      <w:pPr>
        <w:numPr>
          <w:ilvl w:val="1"/>
          <w:numId w:val="33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Signifikante Reduktion der Nasen- und Augensymptome bei saisonaler alle</w:t>
      </w:r>
      <w:r w:rsidRPr="001D2559">
        <w:rPr>
          <w:rFonts w:cs="Arial"/>
          <w:szCs w:val="22"/>
        </w:rPr>
        <w:t>r</w:t>
      </w:r>
      <w:r w:rsidRPr="001D2559">
        <w:rPr>
          <w:rFonts w:cs="Arial"/>
          <w:szCs w:val="22"/>
        </w:rPr>
        <w:t>gischer Rhinitis (SAR) von 60 bzw. 56 % nach 2-wöchiger B</w:t>
      </w:r>
      <w:r w:rsidRPr="001D2559">
        <w:rPr>
          <w:rFonts w:cs="Arial"/>
          <w:szCs w:val="22"/>
        </w:rPr>
        <w:t>e</w:t>
      </w:r>
      <w:r w:rsidRPr="001D2559">
        <w:rPr>
          <w:rFonts w:cs="Arial"/>
          <w:szCs w:val="22"/>
        </w:rPr>
        <w:t>handlung</w:t>
      </w:r>
      <w:r w:rsidRPr="001D2559">
        <w:rPr>
          <w:rStyle w:val="Funotenzeichen"/>
          <w:rFonts w:cs="Arial"/>
          <w:szCs w:val="22"/>
        </w:rPr>
        <w:footnoteReference w:id="2"/>
      </w:r>
    </w:p>
    <w:p w:rsidR="00A77B80" w:rsidRPr="001D2559" w:rsidRDefault="00A77B80" w:rsidP="00A77B80">
      <w:pPr>
        <w:numPr>
          <w:ilvl w:val="1"/>
          <w:numId w:val="33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Mehrere Studien konnten die konsistente Wirksamkeit bei der Behandlung a</w:t>
      </w:r>
      <w:r w:rsidRPr="001D2559">
        <w:rPr>
          <w:rFonts w:cs="Arial"/>
          <w:szCs w:val="22"/>
        </w:rPr>
        <w:t>l</w:t>
      </w:r>
      <w:r w:rsidRPr="001D2559">
        <w:rPr>
          <w:rFonts w:cs="Arial"/>
          <w:szCs w:val="22"/>
        </w:rPr>
        <w:t>ler 7 Nasen- und Augensymptome</w:t>
      </w:r>
      <w:r w:rsidR="00790DA1" w:rsidRPr="001D2559">
        <w:rPr>
          <w:rStyle w:val="Funotenzeichen"/>
          <w:rFonts w:cs="Arial"/>
          <w:szCs w:val="22"/>
        </w:rPr>
        <w:footnoteReference w:id="3"/>
      </w:r>
      <w:r w:rsidR="00790DA1" w:rsidRPr="001D2559">
        <w:rPr>
          <w:rFonts w:cs="Arial"/>
          <w:szCs w:val="22"/>
        </w:rPr>
        <w:t xml:space="preserve"> bei</w:t>
      </w:r>
      <w:r w:rsidRPr="001D2559">
        <w:rPr>
          <w:rFonts w:cs="Arial"/>
          <w:szCs w:val="22"/>
        </w:rPr>
        <w:t xml:space="preserve"> SAR zeigen</w:t>
      </w:r>
      <w:r w:rsidR="00790DA1" w:rsidRPr="001D2559">
        <w:rPr>
          <w:rStyle w:val="Funotenzeichen"/>
          <w:rFonts w:cs="Arial"/>
          <w:szCs w:val="22"/>
        </w:rPr>
        <w:footnoteReference w:id="4"/>
      </w:r>
    </w:p>
    <w:p w:rsidR="00790DA1" w:rsidRPr="001D2559" w:rsidRDefault="00790DA1" w:rsidP="00A77B80">
      <w:pPr>
        <w:numPr>
          <w:ilvl w:val="1"/>
          <w:numId w:val="33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 xml:space="preserve">Im Vergleich zu anderen intranasalen Steroiden konnte nur </w:t>
      </w:r>
      <w:r w:rsidR="00891818" w:rsidRPr="001D2559">
        <w:rPr>
          <w:rFonts w:cs="Arial"/>
          <w:szCs w:val="22"/>
        </w:rPr>
        <w:t xml:space="preserve">für Avamys eine konsistente </w:t>
      </w:r>
      <w:r w:rsidRPr="001D2559">
        <w:rPr>
          <w:rFonts w:cs="Arial"/>
          <w:szCs w:val="22"/>
        </w:rPr>
        <w:t>signifikante Wirksamkeit auf sämtliche Augensymptome bei Pat</w:t>
      </w:r>
      <w:r w:rsidRPr="001D2559">
        <w:rPr>
          <w:rFonts w:cs="Arial"/>
          <w:szCs w:val="22"/>
        </w:rPr>
        <w:t>i</w:t>
      </w:r>
      <w:r w:rsidRPr="001D2559">
        <w:rPr>
          <w:rFonts w:cs="Arial"/>
          <w:szCs w:val="22"/>
        </w:rPr>
        <w:t>enten mit SAR gezeigt werden</w:t>
      </w:r>
      <w:bookmarkStart w:id="1" w:name="_Ref251601053"/>
      <w:r w:rsidRPr="001D2559">
        <w:rPr>
          <w:rStyle w:val="Funotenzeichen"/>
          <w:rFonts w:cs="Arial"/>
          <w:szCs w:val="22"/>
        </w:rPr>
        <w:footnoteReference w:id="5"/>
      </w:r>
      <w:bookmarkEnd w:id="1"/>
    </w:p>
    <w:p w:rsidR="00A77B80" w:rsidRPr="001D2559" w:rsidRDefault="00A77B80" w:rsidP="00A77B80">
      <w:pPr>
        <w:numPr>
          <w:ilvl w:val="1"/>
          <w:numId w:val="33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Signifikante Reduktion der Nasen- und Augensymptome bei perennialer alle</w:t>
      </w:r>
      <w:r w:rsidRPr="001D2559">
        <w:rPr>
          <w:rFonts w:cs="Arial"/>
          <w:szCs w:val="22"/>
        </w:rPr>
        <w:t>r</w:t>
      </w:r>
      <w:r w:rsidRPr="001D2559">
        <w:rPr>
          <w:rFonts w:cs="Arial"/>
          <w:szCs w:val="22"/>
        </w:rPr>
        <w:t>gischer Rhinitis (</w:t>
      </w:r>
      <w:smartTag w:uri="urn:schemas-microsoft-com:office:smarttags" w:element="stockticker">
        <w:r w:rsidRPr="001D2559">
          <w:rPr>
            <w:rFonts w:cs="Arial"/>
            <w:szCs w:val="22"/>
          </w:rPr>
          <w:t>PAR</w:t>
        </w:r>
      </w:smartTag>
      <w:r w:rsidRPr="001D2559">
        <w:rPr>
          <w:rFonts w:cs="Arial"/>
          <w:szCs w:val="22"/>
        </w:rPr>
        <w:t>) von 45 bzw. 42 % nach 6-wöchiger Behandlung</w:t>
      </w:r>
      <w:r w:rsidRPr="001D2559">
        <w:rPr>
          <w:rStyle w:val="Funotenzeichen"/>
          <w:rFonts w:cs="Arial"/>
          <w:szCs w:val="22"/>
        </w:rPr>
        <w:footnoteReference w:id="6"/>
      </w:r>
    </w:p>
    <w:p w:rsidR="007C1E6F" w:rsidRPr="00D7068D" w:rsidRDefault="007C1E6F" w:rsidP="006547A1">
      <w:pPr>
        <w:rPr>
          <w:rFonts w:cs="Arial"/>
          <w:szCs w:val="22"/>
        </w:rPr>
      </w:pPr>
    </w:p>
    <w:p w:rsidR="00132F6B" w:rsidRPr="007C1E6F" w:rsidRDefault="00132F6B" w:rsidP="006547A1">
      <w:pPr>
        <w:rPr>
          <w:rFonts w:cs="Arial"/>
          <w:spacing w:val="30"/>
          <w:szCs w:val="22"/>
        </w:rPr>
      </w:pPr>
      <w:r w:rsidRPr="007C1E6F">
        <w:rPr>
          <w:rFonts w:cs="Arial"/>
          <w:spacing w:val="30"/>
          <w:szCs w:val="22"/>
        </w:rPr>
        <w:t>Wirkungsweise</w:t>
      </w:r>
    </w:p>
    <w:p w:rsidR="007C1E6F" w:rsidRDefault="00680F49" w:rsidP="006547A1">
      <w:pPr>
        <w:rPr>
          <w:rFonts w:cs="Arial"/>
          <w:szCs w:val="22"/>
        </w:rPr>
      </w:pPr>
      <w:r>
        <w:rPr>
          <w:noProof/>
          <w:lang w:bidi="ne-NP"/>
        </w:rPr>
        <w:pict>
          <v:group id="_x0000_s1062" style="position:absolute;margin-left:167.2pt;margin-top:8.1pt;width:279pt;height:274.65pt;z-index:-251658752" coordorigin="4761,8619" coordsize="5580,5493">
            <v:group id="_x0000_s1060" style="position:absolute;left:4761;top:8619;width:5580;height:5493" coordorigin="4761,8619" coordsize="5580,5493">
              <v:group id="_x0000_s1056" style="position:absolute;left:4761;top:8619;width:5580;height:5493" coordorigin="1881,8351" coordsize="5580,5493">
                <v:group id="_x0000_s1054" style="position:absolute;left:1881;top:8351;width:5580;height:5493" coordorigin="1881,8351" coordsize="5580,5493">
                  <v:group id="_x0000_s1047" style="position:absolute;left:1881;top:8351;width:5580;height:5493" coordorigin="1881,8351" coordsize="5580,549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8" type="#_x0000_t75" style="position:absolute;left:1881;top:8351;width:5580;height:5493" wrapcoords="-36 0 -36 21564 21600 21564 21600 0 -36 0" o:regroupid="1">
                      <v:imagedata r:id="rId7" o:title="6105_091211_Avs_Folder_HNO_2010-6"/>
                    </v:shape>
                    <v:rect id="_x0000_s1043" style="position:absolute;left:2061;top:8464;width:1800;height:1620" stroked="f"/>
                    <v:rect id="_x0000_s1044" style="position:absolute;left:3681;top:8464;width:1260;height:360" stroked="f"/>
                    <v:rect id="_x0000_s1045" style="position:absolute;left:3681;top:8644;width:540;height:900" stroked="f"/>
                    <v:rect id="_x0000_s1046" style="position:absolute;left:4221;top:8824;width:360;height:180" stroked="f"/>
                  </v:group>
                  <v:rect id="_x0000_s1050" style="position:absolute;left:1881;top:10444;width:1980;height:1620" stroked="f"/>
                  <v:rect id="_x0000_s1051" style="position:absolute;left:3861;top:10624;width:210;height:1260" stroked="f"/>
                  <v:rect id="_x0000_s1052" style="position:absolute;left:3681;top:11230;width:749;height:294" stroked="f"/>
                  <v:rect id="_x0000_s1053" style="position:absolute;left:3741;top:10444;width:180;height:180;flip:x" stroked="f"/>
                </v:group>
                <v:rect id="_x0000_s1055" style="position:absolute;left:1881;top:12424;width:2520;height:1260" stroked="f"/>
              </v:group>
              <v:rect id="_x0000_s1059" style="position:absolute;left:6817;top:11286;width:180;height:180" stroked="f"/>
            </v:group>
            <v:rect id="_x0000_s1061" style="position:absolute;left:6741;top:10804;width:180;height:180" stroked="f"/>
          </v:group>
        </w:pict>
      </w:r>
    </w:p>
    <w:p w:rsidR="000061AC" w:rsidRPr="001D2559" w:rsidRDefault="007775D9" w:rsidP="007775D9">
      <w:pPr>
        <w:numPr>
          <w:ilvl w:val="0"/>
          <w:numId w:val="38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Avamys verfügt im Vergleich zu anderen intranasalen</w:t>
      </w:r>
      <w:r w:rsidRPr="001D2559">
        <w:rPr>
          <w:rFonts w:cs="Arial"/>
          <w:szCs w:val="22"/>
        </w:rPr>
        <w:br/>
        <w:t>Steroiden über die höchste Affinität zum Glukokortikoid-</w:t>
      </w:r>
      <w:r w:rsidRPr="001D2559">
        <w:rPr>
          <w:rFonts w:cs="Arial"/>
          <w:szCs w:val="22"/>
        </w:rPr>
        <w:br/>
        <w:t>Rezeptor</w:t>
      </w:r>
      <w:fldSimple w:instr=" NOTEREF _Ref251600969 \h  \* MERGEFORMAT ">
        <w:r w:rsidR="00CD12B4">
          <w:rPr>
            <w:rFonts w:cs="Arial"/>
            <w:szCs w:val="22"/>
            <w:vertAlign w:val="superscript"/>
          </w:rPr>
          <w:t>1</w:t>
        </w:r>
      </w:fldSimple>
    </w:p>
    <w:p w:rsidR="007775D9" w:rsidRPr="001D2559" w:rsidRDefault="007775D9" w:rsidP="007775D9">
      <w:pPr>
        <w:numPr>
          <w:ilvl w:val="0"/>
          <w:numId w:val="38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Dies kann zu einer erhöhten inhibitorischen</w:t>
      </w:r>
      <w:r w:rsidRPr="001D2559">
        <w:rPr>
          <w:rFonts w:cs="Arial"/>
          <w:szCs w:val="22"/>
        </w:rPr>
        <w:br/>
        <w:t>Wirkung auf den nasal-konjunktivalen Reflex-</w:t>
      </w:r>
      <w:r w:rsidRPr="001D2559">
        <w:rPr>
          <w:rFonts w:cs="Arial"/>
          <w:szCs w:val="22"/>
        </w:rPr>
        <w:br/>
        <w:t>mechanismus führen</w:t>
      </w:r>
    </w:p>
    <w:p w:rsidR="007775D9" w:rsidRPr="001D2559" w:rsidRDefault="007775D9" w:rsidP="007775D9">
      <w:pPr>
        <w:numPr>
          <w:ilvl w:val="0"/>
          <w:numId w:val="38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Infolgedessen wird die Augensymptomatik der</w:t>
      </w:r>
      <w:r w:rsidRPr="001D2559">
        <w:rPr>
          <w:rFonts w:cs="Arial"/>
          <w:szCs w:val="22"/>
        </w:rPr>
        <w:br/>
        <w:t>AR reduziert</w:t>
      </w:r>
      <w:fldSimple w:instr=" NOTEREF _Ref251601053 \h  \* MERGEFORMAT ">
        <w:r w:rsidR="00CD12B4">
          <w:rPr>
            <w:rFonts w:cs="Arial"/>
            <w:szCs w:val="22"/>
            <w:vertAlign w:val="superscript"/>
          </w:rPr>
          <w:t>5</w:t>
        </w:r>
      </w:fldSimple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0061AC" w:rsidRDefault="000061AC" w:rsidP="006547A1">
      <w:pPr>
        <w:rPr>
          <w:rFonts w:cs="Arial"/>
          <w:spacing w:val="30"/>
          <w:szCs w:val="22"/>
        </w:rPr>
      </w:pPr>
    </w:p>
    <w:p w:rsidR="00132F6B" w:rsidRPr="007C1E6F" w:rsidRDefault="00132F6B" w:rsidP="006547A1">
      <w:pPr>
        <w:rPr>
          <w:rFonts w:cs="Arial"/>
          <w:spacing w:val="30"/>
          <w:szCs w:val="22"/>
        </w:rPr>
      </w:pPr>
      <w:r w:rsidRPr="007C1E6F">
        <w:rPr>
          <w:rFonts w:cs="Arial"/>
          <w:spacing w:val="30"/>
          <w:szCs w:val="22"/>
        </w:rPr>
        <w:lastRenderedPageBreak/>
        <w:t>Applikationssy</w:t>
      </w:r>
      <w:r w:rsidR="00847AAE" w:rsidRPr="007C1E6F">
        <w:rPr>
          <w:rFonts w:cs="Arial"/>
          <w:spacing w:val="30"/>
          <w:szCs w:val="22"/>
        </w:rPr>
        <w:t>s</w:t>
      </w:r>
      <w:r w:rsidRPr="007C1E6F">
        <w:rPr>
          <w:rFonts w:cs="Arial"/>
          <w:spacing w:val="30"/>
          <w:szCs w:val="22"/>
        </w:rPr>
        <w:t>tem</w:t>
      </w:r>
    </w:p>
    <w:p w:rsidR="00FC2D02" w:rsidRPr="00847AAE" w:rsidRDefault="00FC2D02" w:rsidP="006547A1">
      <w:pPr>
        <w:rPr>
          <w:rFonts w:cs="Arial"/>
          <w:b/>
          <w:szCs w:val="22"/>
        </w:rPr>
      </w:pPr>
    </w:p>
    <w:p w:rsidR="003C1268" w:rsidRDefault="00744488" w:rsidP="003C1268">
      <w:pPr>
        <w:numPr>
          <w:ilvl w:val="0"/>
          <w:numId w:val="35"/>
        </w:numPr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132F6B" w:rsidRPr="00132F6B">
        <w:rPr>
          <w:rFonts w:cs="Arial"/>
          <w:szCs w:val="22"/>
        </w:rPr>
        <w:t>ine Umfrage mit 7.000 Patienten</w:t>
      </w:r>
      <w:r>
        <w:rPr>
          <w:rFonts w:cs="Arial"/>
          <w:szCs w:val="22"/>
        </w:rPr>
        <w:t xml:space="preserve"> ergab:</w:t>
      </w:r>
      <w:r w:rsidR="00132F6B" w:rsidRPr="00132F6B">
        <w:rPr>
          <w:rFonts w:cs="Arial"/>
          <w:szCs w:val="22"/>
        </w:rPr>
        <w:t xml:space="preserve"> </w:t>
      </w:r>
    </w:p>
    <w:p w:rsidR="003C1268" w:rsidRPr="003C1268" w:rsidRDefault="00744488" w:rsidP="003C1268">
      <w:pPr>
        <w:numPr>
          <w:ilvl w:val="1"/>
          <w:numId w:val="3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Für </w:t>
      </w:r>
      <w:r w:rsidR="00132F6B" w:rsidRPr="00132F6B">
        <w:rPr>
          <w:rFonts w:cs="Arial"/>
          <w:szCs w:val="22"/>
        </w:rPr>
        <w:t>48 % der Befragten</w:t>
      </w:r>
      <w:r>
        <w:rPr>
          <w:rFonts w:cs="Arial"/>
          <w:szCs w:val="22"/>
        </w:rPr>
        <w:t xml:space="preserve"> ist eine „einfache Anwendung“</w:t>
      </w:r>
      <w:r w:rsidR="00132F6B" w:rsidRPr="00132F6B">
        <w:rPr>
          <w:rFonts w:cs="Arial"/>
          <w:szCs w:val="22"/>
        </w:rPr>
        <w:t xml:space="preserve"> das wichtigste Mer</w:t>
      </w:r>
      <w:r w:rsidR="00132F6B" w:rsidRPr="00132F6B">
        <w:rPr>
          <w:rFonts w:cs="Arial"/>
          <w:szCs w:val="22"/>
        </w:rPr>
        <w:t>k</w:t>
      </w:r>
      <w:r w:rsidR="00132F6B" w:rsidRPr="00132F6B">
        <w:rPr>
          <w:rFonts w:cs="Arial"/>
          <w:szCs w:val="22"/>
        </w:rPr>
        <w:t>mal eines N</w:t>
      </w:r>
      <w:r w:rsidR="00132F6B" w:rsidRPr="00132F6B">
        <w:rPr>
          <w:rFonts w:cs="Arial"/>
          <w:szCs w:val="22"/>
        </w:rPr>
        <w:t>a</w:t>
      </w:r>
      <w:r w:rsidR="00A15A52">
        <w:rPr>
          <w:rFonts w:cs="Arial"/>
          <w:szCs w:val="22"/>
        </w:rPr>
        <w:t>s</w:t>
      </w:r>
      <w:r w:rsidR="005A49E4">
        <w:rPr>
          <w:rFonts w:cs="Arial"/>
          <w:szCs w:val="22"/>
        </w:rPr>
        <w:t>en</w:t>
      </w:r>
      <w:r w:rsidR="00132F6B" w:rsidRPr="00132F6B">
        <w:rPr>
          <w:rFonts w:cs="Arial"/>
          <w:szCs w:val="22"/>
        </w:rPr>
        <w:t>sprays.</w:t>
      </w:r>
      <w:bookmarkStart w:id="2" w:name="_Ref227666919"/>
      <w:r w:rsidR="007C1E6F">
        <w:rPr>
          <w:rStyle w:val="Funotenzeichen"/>
          <w:rFonts w:cs="Arial"/>
          <w:szCs w:val="22"/>
        </w:rPr>
        <w:footnoteReference w:id="7"/>
      </w:r>
      <w:bookmarkEnd w:id="2"/>
    </w:p>
    <w:p w:rsidR="003C1268" w:rsidRDefault="00744488" w:rsidP="003C1268">
      <w:pPr>
        <w:numPr>
          <w:ilvl w:val="1"/>
          <w:numId w:val="35"/>
        </w:numPr>
        <w:rPr>
          <w:rFonts w:cs="Arial"/>
          <w:szCs w:val="22"/>
        </w:rPr>
      </w:pPr>
      <w:r>
        <w:rPr>
          <w:rFonts w:cs="Arial"/>
          <w:szCs w:val="22"/>
        </w:rPr>
        <w:t>Als h</w:t>
      </w:r>
      <w:r w:rsidR="00132F6B" w:rsidRPr="00132F6B">
        <w:rPr>
          <w:rFonts w:cs="Arial"/>
          <w:szCs w:val="22"/>
        </w:rPr>
        <w:t>äufigste</w:t>
      </w:r>
      <w:r>
        <w:rPr>
          <w:rFonts w:cs="Arial"/>
          <w:szCs w:val="22"/>
        </w:rPr>
        <w:t>n</w:t>
      </w:r>
      <w:r w:rsidR="00132F6B" w:rsidRPr="00132F6B">
        <w:rPr>
          <w:rFonts w:cs="Arial"/>
          <w:szCs w:val="22"/>
        </w:rPr>
        <w:t xml:space="preserve"> Grund</w:t>
      </w:r>
      <w:r>
        <w:rPr>
          <w:rFonts w:cs="Arial"/>
          <w:szCs w:val="22"/>
        </w:rPr>
        <w:t xml:space="preserve"> </w:t>
      </w:r>
      <w:r w:rsidR="00132F6B" w:rsidRPr="00132F6B">
        <w:rPr>
          <w:rFonts w:cs="Arial"/>
          <w:szCs w:val="22"/>
        </w:rPr>
        <w:t>für das Absetzen einer Nas</w:t>
      </w:r>
      <w:r w:rsidR="005A49E4">
        <w:rPr>
          <w:rFonts w:cs="Arial"/>
          <w:szCs w:val="22"/>
        </w:rPr>
        <w:t>ensp</w:t>
      </w:r>
      <w:r w:rsidR="00132F6B" w:rsidRPr="00132F6B">
        <w:rPr>
          <w:rFonts w:cs="Arial"/>
          <w:szCs w:val="22"/>
        </w:rPr>
        <w:t xml:space="preserve">ray-Behandlung </w:t>
      </w:r>
      <w:r>
        <w:rPr>
          <w:rFonts w:cs="Arial"/>
          <w:szCs w:val="22"/>
        </w:rPr>
        <w:t>gaben 62 % der Befragten an: D</w:t>
      </w:r>
      <w:r w:rsidR="00132F6B" w:rsidRPr="00132F6B">
        <w:rPr>
          <w:rFonts w:cs="Arial"/>
          <w:szCs w:val="22"/>
        </w:rPr>
        <w:t>as Medikament</w:t>
      </w:r>
      <w:r w:rsidR="00DF37BD">
        <w:rPr>
          <w:rFonts w:cs="Arial"/>
          <w:szCs w:val="22"/>
        </w:rPr>
        <w:t xml:space="preserve"> fließt</w:t>
      </w:r>
      <w:r w:rsidR="00132F6B" w:rsidRPr="00132F6B">
        <w:rPr>
          <w:rFonts w:cs="Arial"/>
          <w:szCs w:val="22"/>
        </w:rPr>
        <w:t xml:space="preserve"> in Rache</w:t>
      </w:r>
      <w:r w:rsidR="00132F6B" w:rsidRPr="00132F6B">
        <w:rPr>
          <w:rFonts w:cs="Arial"/>
          <w:szCs w:val="22"/>
        </w:rPr>
        <w:t>n</w:t>
      </w:r>
      <w:r w:rsidR="00132F6B" w:rsidRPr="00132F6B">
        <w:rPr>
          <w:rFonts w:cs="Arial"/>
          <w:szCs w:val="22"/>
        </w:rPr>
        <w:t>raum oder Nase</w:t>
      </w:r>
      <w:r w:rsidR="00DF37BD">
        <w:rPr>
          <w:rFonts w:cs="Arial"/>
          <w:szCs w:val="22"/>
        </w:rPr>
        <w:t xml:space="preserve">. </w:t>
      </w:r>
    </w:p>
    <w:p w:rsidR="003C1268" w:rsidRDefault="00DF37BD" w:rsidP="006547A1">
      <w:pPr>
        <w:numPr>
          <w:ilvl w:val="1"/>
          <w:numId w:val="35"/>
        </w:numPr>
        <w:rPr>
          <w:rFonts w:cs="Arial"/>
          <w:szCs w:val="22"/>
        </w:rPr>
      </w:pPr>
      <w:r>
        <w:rPr>
          <w:rFonts w:cs="Arial"/>
          <w:szCs w:val="22"/>
        </w:rPr>
        <w:t>Weitere 43,7 % stört der bittere Geschmack, der</w:t>
      </w:r>
      <w:r w:rsidR="00132F6B" w:rsidRPr="00132F6B">
        <w:rPr>
          <w:rFonts w:cs="Arial"/>
          <w:szCs w:val="22"/>
        </w:rPr>
        <w:t xml:space="preserve"> dabei </w:t>
      </w:r>
      <w:r>
        <w:rPr>
          <w:rFonts w:cs="Arial"/>
          <w:szCs w:val="22"/>
        </w:rPr>
        <w:t>auftritt</w:t>
      </w:r>
      <w:r w:rsidR="00132F6B" w:rsidRPr="00132F6B">
        <w:rPr>
          <w:rFonts w:cs="Arial"/>
          <w:szCs w:val="22"/>
        </w:rPr>
        <w:t>.</w:t>
      </w:r>
      <w:fldSimple w:instr=" NOTEREF _Ref227666919 \h  \* MERGEFORMAT ">
        <w:r w:rsidR="00CD12B4">
          <w:rPr>
            <w:rFonts w:cs="Arial"/>
            <w:szCs w:val="22"/>
            <w:vertAlign w:val="superscript"/>
          </w:rPr>
          <w:t>7</w:t>
        </w:r>
      </w:fldSimple>
    </w:p>
    <w:p w:rsidR="00201EFF" w:rsidRDefault="00132F6B" w:rsidP="00201EFF">
      <w:pPr>
        <w:numPr>
          <w:ilvl w:val="0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>Das Applikationssystem für Fluticasonfuroat wurde speziell für eine einfache, patie</w:t>
      </w:r>
      <w:r w:rsidRPr="00132F6B">
        <w:rPr>
          <w:rFonts w:cs="Arial"/>
          <w:szCs w:val="22"/>
        </w:rPr>
        <w:t>n</w:t>
      </w:r>
      <w:r w:rsidRPr="00132F6B">
        <w:rPr>
          <w:rFonts w:cs="Arial"/>
          <w:szCs w:val="22"/>
        </w:rPr>
        <w:t xml:space="preserve">tenfreundliche Anwendung entwickelt. </w:t>
      </w:r>
    </w:p>
    <w:p w:rsidR="003C1268" w:rsidRDefault="0060485B" w:rsidP="00201EFF">
      <w:pPr>
        <w:numPr>
          <w:ilvl w:val="0"/>
          <w:numId w:val="35"/>
        </w:numPr>
        <w:rPr>
          <w:rFonts w:cs="Arial"/>
          <w:szCs w:val="22"/>
        </w:rPr>
      </w:pPr>
      <w:r>
        <w:rPr>
          <w:rFonts w:cs="Arial"/>
          <w:szCs w:val="22"/>
        </w:rPr>
        <w:t>Die wichtigsten M</w:t>
      </w:r>
      <w:r w:rsidR="00132F6B" w:rsidRPr="00132F6B">
        <w:rPr>
          <w:rFonts w:cs="Arial"/>
          <w:szCs w:val="22"/>
        </w:rPr>
        <w:t>erkmale des Fluticasonfur</w:t>
      </w:r>
      <w:r w:rsidR="00132F6B" w:rsidRPr="00132F6B">
        <w:rPr>
          <w:rFonts w:cs="Arial"/>
          <w:szCs w:val="22"/>
        </w:rPr>
        <w:t>o</w:t>
      </w:r>
      <w:r w:rsidR="00132F6B" w:rsidRPr="00132F6B">
        <w:rPr>
          <w:rFonts w:cs="Arial"/>
          <w:szCs w:val="22"/>
        </w:rPr>
        <w:t>at-Applikationssystems:</w:t>
      </w:r>
    </w:p>
    <w:p w:rsidR="003C1268" w:rsidRDefault="00132F6B" w:rsidP="003C1268">
      <w:pPr>
        <w:numPr>
          <w:ilvl w:val="1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 xml:space="preserve">Halb so großes Dosisvolumen im Vergleich mit anderen </w:t>
      </w:r>
      <w:r w:rsidR="005A49E4">
        <w:rPr>
          <w:rFonts w:cs="Arial"/>
          <w:szCs w:val="22"/>
        </w:rPr>
        <w:t>N</w:t>
      </w:r>
      <w:r w:rsidRPr="00132F6B">
        <w:rPr>
          <w:rFonts w:cs="Arial"/>
          <w:szCs w:val="22"/>
        </w:rPr>
        <w:t>as</w:t>
      </w:r>
      <w:r w:rsidR="005A49E4">
        <w:rPr>
          <w:rFonts w:cs="Arial"/>
          <w:szCs w:val="22"/>
        </w:rPr>
        <w:t>en</w:t>
      </w:r>
      <w:r w:rsidRPr="00132F6B">
        <w:rPr>
          <w:rFonts w:cs="Arial"/>
          <w:szCs w:val="22"/>
        </w:rPr>
        <w:t>sprays, was zu einem geringeren Abfluss im hinteren Rachenraum führt</w:t>
      </w:r>
    </w:p>
    <w:p w:rsidR="003C1268" w:rsidRDefault="00132F6B" w:rsidP="003C1268">
      <w:pPr>
        <w:numPr>
          <w:ilvl w:val="1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>Geschmacks- und g</w:t>
      </w:r>
      <w:r w:rsidRPr="00132F6B">
        <w:rPr>
          <w:rFonts w:cs="Arial"/>
          <w:szCs w:val="22"/>
        </w:rPr>
        <w:t>e</w:t>
      </w:r>
      <w:r w:rsidRPr="00132F6B">
        <w:rPr>
          <w:rFonts w:cs="Arial"/>
          <w:szCs w:val="22"/>
        </w:rPr>
        <w:t>ruchlos</w:t>
      </w:r>
    </w:p>
    <w:p w:rsidR="003C1268" w:rsidRDefault="00132F6B" w:rsidP="003C1268">
      <w:pPr>
        <w:numPr>
          <w:ilvl w:val="1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>Kürzere Sprühdüse zur leichteren Anwendung</w:t>
      </w:r>
    </w:p>
    <w:p w:rsidR="003C1268" w:rsidRDefault="00132F6B" w:rsidP="003C1268">
      <w:pPr>
        <w:numPr>
          <w:ilvl w:val="1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>Ergonomische Form für eine leichtere Handhabung</w:t>
      </w:r>
    </w:p>
    <w:p w:rsidR="00201EFF" w:rsidRPr="001D2559" w:rsidRDefault="00201EFF" w:rsidP="003C1268">
      <w:pPr>
        <w:numPr>
          <w:ilvl w:val="1"/>
          <w:numId w:val="35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>Seitliche Aktivierung des Sprühstoßes</w:t>
      </w:r>
    </w:p>
    <w:p w:rsidR="003C1268" w:rsidRDefault="00132F6B" w:rsidP="003C1268">
      <w:pPr>
        <w:numPr>
          <w:ilvl w:val="1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>Sichtfenster, durch das die verbliebene Medikamentenmenge sichtbar ist</w:t>
      </w:r>
    </w:p>
    <w:p w:rsidR="003C1268" w:rsidRDefault="00132F6B" w:rsidP="003C1268">
      <w:pPr>
        <w:numPr>
          <w:ilvl w:val="1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>Gleich bleibende Dosierung (bei Gebrauch des Applikationssystems wird j</w:t>
      </w:r>
      <w:r w:rsidRPr="00132F6B">
        <w:rPr>
          <w:rFonts w:cs="Arial"/>
          <w:szCs w:val="22"/>
        </w:rPr>
        <w:t>e</w:t>
      </w:r>
      <w:r w:rsidRPr="00132F6B">
        <w:rPr>
          <w:rFonts w:cs="Arial"/>
          <w:szCs w:val="22"/>
        </w:rPr>
        <w:t>des Mal die gle</w:t>
      </w:r>
      <w:r w:rsidRPr="00132F6B">
        <w:rPr>
          <w:rFonts w:cs="Arial"/>
          <w:szCs w:val="22"/>
        </w:rPr>
        <w:t>i</w:t>
      </w:r>
      <w:r w:rsidRPr="00132F6B">
        <w:rPr>
          <w:rFonts w:cs="Arial"/>
          <w:szCs w:val="22"/>
        </w:rPr>
        <w:t>che Dosis abgegeben)</w:t>
      </w:r>
    </w:p>
    <w:p w:rsidR="003C1268" w:rsidRDefault="00132F6B" w:rsidP="003C1268">
      <w:pPr>
        <w:numPr>
          <w:ilvl w:val="1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>Feine Sprüh</w:t>
      </w:r>
      <w:r w:rsidR="005A49E4">
        <w:rPr>
          <w:rFonts w:cs="Arial"/>
          <w:szCs w:val="22"/>
        </w:rPr>
        <w:t>wolke</w:t>
      </w:r>
    </w:p>
    <w:p w:rsidR="003C1268" w:rsidRDefault="005A49E4" w:rsidP="003C1268">
      <w:pPr>
        <w:numPr>
          <w:ilvl w:val="1"/>
          <w:numId w:val="35"/>
        </w:numPr>
        <w:rPr>
          <w:rFonts w:cs="Arial"/>
          <w:szCs w:val="22"/>
        </w:rPr>
      </w:pPr>
      <w:r>
        <w:rPr>
          <w:rFonts w:cs="Arial"/>
          <w:szCs w:val="22"/>
        </w:rPr>
        <w:t>Keine Vorbereitung vor und während des Gebrauchs</w:t>
      </w:r>
      <w:r w:rsidR="00132F6B" w:rsidRPr="00132F6B">
        <w:rPr>
          <w:rFonts w:cs="Arial"/>
          <w:szCs w:val="22"/>
        </w:rPr>
        <w:t xml:space="preserve"> (wenn die Anwendungen innerhalb eines Zeitraums von weniger als 30 Tagen erfo</w:t>
      </w:r>
      <w:r w:rsidR="00132F6B" w:rsidRPr="00132F6B">
        <w:rPr>
          <w:rFonts w:cs="Arial"/>
          <w:szCs w:val="22"/>
        </w:rPr>
        <w:t>l</w:t>
      </w:r>
      <w:r w:rsidR="00132F6B" w:rsidRPr="00132F6B">
        <w:rPr>
          <w:rFonts w:cs="Arial"/>
          <w:szCs w:val="22"/>
        </w:rPr>
        <w:t>gen)</w:t>
      </w:r>
    </w:p>
    <w:p w:rsidR="00132F6B" w:rsidRDefault="00132F6B" w:rsidP="003C1268">
      <w:pPr>
        <w:numPr>
          <w:ilvl w:val="1"/>
          <w:numId w:val="35"/>
        </w:numPr>
        <w:rPr>
          <w:rFonts w:cs="Arial"/>
          <w:szCs w:val="22"/>
        </w:rPr>
      </w:pPr>
      <w:r w:rsidRPr="00132F6B">
        <w:rPr>
          <w:rFonts w:cs="Arial"/>
          <w:szCs w:val="22"/>
        </w:rPr>
        <w:t>Alkoholfre</w:t>
      </w:r>
      <w:r w:rsidR="007C1E6F">
        <w:rPr>
          <w:rFonts w:cs="Arial"/>
          <w:szCs w:val="22"/>
        </w:rPr>
        <w:t>i</w:t>
      </w:r>
    </w:p>
    <w:p w:rsidR="00201EFF" w:rsidRPr="001D2559" w:rsidRDefault="00201EFF" w:rsidP="00201EFF">
      <w:pPr>
        <w:numPr>
          <w:ilvl w:val="0"/>
          <w:numId w:val="35"/>
        </w:numPr>
        <w:rPr>
          <w:rFonts w:cs="Arial"/>
          <w:szCs w:val="22"/>
        </w:rPr>
      </w:pPr>
      <w:r w:rsidRPr="001D2559">
        <w:rPr>
          <w:rFonts w:cs="Arial"/>
          <w:szCs w:val="22"/>
        </w:rPr>
        <w:t xml:space="preserve">2007 wurde das Applikationssystem für sein innovatives Design mit einem </w:t>
      </w:r>
      <w:r w:rsidRPr="001D2559">
        <w:rPr>
          <w:szCs w:val="22"/>
        </w:rPr>
        <w:t>Medical Design Excellence Award (</w:t>
      </w:r>
      <w:smartTag w:uri="urn:schemas-microsoft-com:office:smarttags" w:element="stockticker">
        <w:r w:rsidRPr="001D2559">
          <w:rPr>
            <w:szCs w:val="22"/>
          </w:rPr>
          <w:t>MDEA</w:t>
        </w:r>
      </w:smartTag>
      <w:r w:rsidRPr="001D2559">
        <w:rPr>
          <w:szCs w:val="22"/>
        </w:rPr>
        <w:t>) ausgezeichnet. Das von GlaxoSmithKline entw</w:t>
      </w:r>
      <w:r w:rsidRPr="001D2559">
        <w:rPr>
          <w:szCs w:val="22"/>
        </w:rPr>
        <w:t>i</w:t>
      </w:r>
      <w:r w:rsidRPr="001D2559">
        <w:rPr>
          <w:szCs w:val="22"/>
        </w:rPr>
        <w:t>ckelte Produkt erhielt den Gold-Award, da es die Jury als Nasenspray der „nächsten Generation“ überzeugte.</w:t>
      </w:r>
    </w:p>
    <w:sectPr w:rsidR="00201EFF" w:rsidRPr="001D255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B4" w:rsidRDefault="00CD12B4">
      <w:r>
        <w:separator/>
      </w:r>
    </w:p>
  </w:endnote>
  <w:endnote w:type="continuationSeparator" w:id="0">
    <w:p w:rsidR="00CD12B4" w:rsidRDefault="00CD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CondensedLigh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B4" w:rsidRDefault="00CD12B4" w:rsidP="004A3C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12B4" w:rsidRDefault="00CD12B4" w:rsidP="002053B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B4" w:rsidRPr="0064658F" w:rsidRDefault="00CD12B4" w:rsidP="0064658F">
    <w:pPr>
      <w:pStyle w:val="Fuzeile"/>
      <w:ind w:right="360"/>
      <w:jc w:val="center"/>
      <w:rPr>
        <w:rStyle w:val="Seitenzahl"/>
        <w:sz w:val="16"/>
        <w:szCs w:val="16"/>
      </w:rPr>
    </w:pPr>
    <w:r w:rsidRPr="0064658F">
      <w:rPr>
        <w:rStyle w:val="Seitenzahl"/>
        <w:sz w:val="16"/>
        <w:szCs w:val="16"/>
      </w:rPr>
      <w:fldChar w:fldCharType="begin"/>
    </w:r>
    <w:r w:rsidRPr="0064658F">
      <w:rPr>
        <w:rStyle w:val="Seitenzahl"/>
        <w:sz w:val="16"/>
        <w:szCs w:val="16"/>
      </w:rPr>
      <w:instrText xml:space="preserve"> PAGE </w:instrText>
    </w:r>
    <w:r w:rsidRPr="0064658F">
      <w:rPr>
        <w:rStyle w:val="Seitenzahl"/>
        <w:sz w:val="16"/>
        <w:szCs w:val="16"/>
      </w:rPr>
      <w:fldChar w:fldCharType="separate"/>
    </w:r>
    <w:r w:rsidR="00D061E5">
      <w:rPr>
        <w:rStyle w:val="Seitenzahl"/>
        <w:noProof/>
        <w:sz w:val="16"/>
        <w:szCs w:val="16"/>
      </w:rPr>
      <w:t>1</w:t>
    </w:r>
    <w:r w:rsidRPr="0064658F">
      <w:rPr>
        <w:rStyle w:val="Seitenzahl"/>
        <w:sz w:val="16"/>
        <w:szCs w:val="16"/>
      </w:rPr>
      <w:fldChar w:fldCharType="end"/>
    </w:r>
  </w:p>
  <w:p w:rsidR="00CD12B4" w:rsidRPr="0064658F" w:rsidRDefault="00CD12B4" w:rsidP="0064658F">
    <w:pPr>
      <w:pStyle w:val="Fuzeile"/>
      <w:ind w:right="360"/>
      <w:jc w:val="right"/>
      <w:rPr>
        <w:i/>
        <w:iCs/>
        <w:sz w:val="16"/>
        <w:szCs w:val="16"/>
      </w:rPr>
    </w:pPr>
    <w:r w:rsidRPr="0064658F">
      <w:rPr>
        <w:rStyle w:val="Seitenzahl"/>
        <w:i/>
        <w:iCs/>
        <w:sz w:val="16"/>
        <w:szCs w:val="16"/>
      </w:rPr>
      <w:t>Stand Februar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B4" w:rsidRDefault="00CD12B4">
      <w:r>
        <w:separator/>
      </w:r>
    </w:p>
  </w:footnote>
  <w:footnote w:type="continuationSeparator" w:id="0">
    <w:p w:rsidR="00CD12B4" w:rsidRDefault="00CD12B4">
      <w:r>
        <w:continuationSeparator/>
      </w:r>
    </w:p>
  </w:footnote>
  <w:footnote w:id="1">
    <w:p w:rsidR="00CD12B4" w:rsidRPr="001D2559" w:rsidRDefault="00CD12B4">
      <w:pPr>
        <w:pStyle w:val="Funotentext"/>
        <w:rPr>
          <w:sz w:val="16"/>
          <w:szCs w:val="16"/>
          <w:lang w:val="da-DK"/>
        </w:rPr>
      </w:pPr>
      <w:r w:rsidRPr="001D2559">
        <w:rPr>
          <w:rStyle w:val="Funotenzeichen"/>
          <w:sz w:val="16"/>
          <w:szCs w:val="16"/>
        </w:rPr>
        <w:footnoteRef/>
      </w:r>
      <w:r w:rsidRPr="001D2559">
        <w:rPr>
          <w:sz w:val="16"/>
          <w:szCs w:val="16"/>
          <w:lang w:val="da-DK"/>
        </w:rPr>
        <w:t xml:space="preserve"> Salter M et al., Am J Physiol Lung Cell Mol Physiol 2007; 293: 660-667.</w:t>
      </w:r>
    </w:p>
  </w:footnote>
  <w:footnote w:id="2">
    <w:p w:rsidR="00CD12B4" w:rsidRPr="001D2559" w:rsidRDefault="00CD12B4">
      <w:pPr>
        <w:pStyle w:val="Funotentext"/>
        <w:rPr>
          <w:sz w:val="16"/>
          <w:szCs w:val="16"/>
        </w:rPr>
      </w:pPr>
      <w:r w:rsidRPr="001D2559">
        <w:rPr>
          <w:rStyle w:val="Funotenzeichen"/>
          <w:sz w:val="16"/>
          <w:szCs w:val="16"/>
        </w:rPr>
        <w:footnoteRef/>
      </w:r>
      <w:r w:rsidRPr="001D2559">
        <w:rPr>
          <w:sz w:val="16"/>
          <w:szCs w:val="16"/>
        </w:rPr>
        <w:t xml:space="preserve"> Fokkens W et al., Allergy 2007; 62: 1078.1084.</w:t>
      </w:r>
    </w:p>
  </w:footnote>
  <w:footnote w:id="3">
    <w:p w:rsidR="00CD12B4" w:rsidRPr="001D2559" w:rsidRDefault="00CD12B4">
      <w:pPr>
        <w:pStyle w:val="Funotentext"/>
        <w:rPr>
          <w:sz w:val="16"/>
          <w:szCs w:val="16"/>
        </w:rPr>
      </w:pPr>
      <w:r w:rsidRPr="001D2559">
        <w:rPr>
          <w:rStyle w:val="Funotenzeichen"/>
          <w:sz w:val="16"/>
          <w:szCs w:val="16"/>
        </w:rPr>
        <w:footnoteRef/>
      </w:r>
      <w:r w:rsidRPr="001D2559">
        <w:rPr>
          <w:sz w:val="16"/>
          <w:szCs w:val="16"/>
        </w:rPr>
        <w:t xml:space="preserve"> </w:t>
      </w:r>
      <w:r w:rsidRPr="001D2559">
        <w:rPr>
          <w:rFonts w:cs="Arial"/>
          <w:sz w:val="16"/>
          <w:szCs w:val="16"/>
        </w:rPr>
        <w:t>Nasensymptome: laufende und verstopfte Nase, Nasenjucken, Niesen; Augensymptome: juckende/brennende, träne</w:t>
      </w:r>
      <w:r w:rsidRPr="001D2559">
        <w:rPr>
          <w:rFonts w:cs="Arial"/>
          <w:sz w:val="16"/>
          <w:szCs w:val="16"/>
        </w:rPr>
        <w:t>n</w:t>
      </w:r>
      <w:r w:rsidRPr="001D2559">
        <w:rPr>
          <w:rFonts w:cs="Arial"/>
          <w:sz w:val="16"/>
          <w:szCs w:val="16"/>
        </w:rPr>
        <w:t>de/wässrige und gerötete Augen</w:t>
      </w:r>
    </w:p>
  </w:footnote>
  <w:footnote w:id="4">
    <w:p w:rsidR="00CD12B4" w:rsidRPr="001D2559" w:rsidRDefault="00CD12B4">
      <w:pPr>
        <w:pStyle w:val="Funotentext"/>
        <w:rPr>
          <w:sz w:val="16"/>
          <w:szCs w:val="16"/>
          <w:lang w:val="en-GB"/>
        </w:rPr>
      </w:pPr>
      <w:r w:rsidRPr="001D2559">
        <w:rPr>
          <w:rStyle w:val="Funotenzeichen"/>
          <w:sz w:val="16"/>
          <w:szCs w:val="16"/>
        </w:rPr>
        <w:footnoteRef/>
      </w:r>
      <w:r w:rsidRPr="001D2559">
        <w:rPr>
          <w:sz w:val="16"/>
          <w:szCs w:val="16"/>
          <w:lang w:val="en-GB"/>
        </w:rPr>
        <w:t xml:space="preserve"> Maspero JF, Walters RD, Wie W et al. </w:t>
      </w:r>
      <w:proofErr w:type="gramStart"/>
      <w:r w:rsidRPr="001D2559">
        <w:rPr>
          <w:sz w:val="16"/>
          <w:szCs w:val="16"/>
          <w:lang w:val="en-GB"/>
        </w:rPr>
        <w:t>The efficacy of fluticasone furoate on 7 individual nasal and ocular symptoms of se</w:t>
      </w:r>
      <w:r w:rsidRPr="001D2559">
        <w:rPr>
          <w:sz w:val="16"/>
          <w:szCs w:val="16"/>
          <w:lang w:val="en-GB"/>
        </w:rPr>
        <w:t>a</w:t>
      </w:r>
      <w:r w:rsidRPr="001D2559">
        <w:rPr>
          <w:sz w:val="16"/>
          <w:szCs w:val="16"/>
          <w:lang w:val="en-GB"/>
        </w:rPr>
        <w:t>sonal allergic rhinitis.</w:t>
      </w:r>
      <w:proofErr w:type="gramEnd"/>
      <w:r w:rsidRPr="001D2559">
        <w:rPr>
          <w:sz w:val="16"/>
          <w:szCs w:val="16"/>
          <w:lang w:val="en-GB"/>
        </w:rPr>
        <w:t xml:space="preserve"> </w:t>
      </w:r>
      <w:proofErr w:type="gramStart"/>
      <w:r w:rsidRPr="001D2559">
        <w:rPr>
          <w:sz w:val="16"/>
          <w:szCs w:val="16"/>
          <w:lang w:val="en-GB"/>
        </w:rPr>
        <w:t xml:space="preserve">Abstract 524, World Allergy Congress in </w:t>
      </w:r>
      <w:smartTag w:uri="urn:schemas-microsoft-com:office:smarttags" w:element="City">
        <w:smartTag w:uri="urn:schemas-microsoft-com:office:smarttags" w:element="place">
          <w:r w:rsidRPr="001D2559">
            <w:rPr>
              <w:sz w:val="16"/>
              <w:szCs w:val="16"/>
              <w:lang w:val="en-GB"/>
            </w:rPr>
            <w:t>Buenos Aires</w:t>
          </w:r>
        </w:smartTag>
      </w:smartTag>
      <w:r w:rsidRPr="001D2559">
        <w:rPr>
          <w:sz w:val="16"/>
          <w:szCs w:val="16"/>
          <w:lang w:val="en-GB"/>
        </w:rPr>
        <w:t>, Dezember 2009.</w:t>
      </w:r>
      <w:proofErr w:type="gramEnd"/>
    </w:p>
  </w:footnote>
  <w:footnote w:id="5">
    <w:p w:rsidR="00CD12B4" w:rsidRPr="001D2559" w:rsidRDefault="00CD12B4">
      <w:pPr>
        <w:pStyle w:val="Funotentext"/>
        <w:rPr>
          <w:sz w:val="16"/>
          <w:szCs w:val="16"/>
          <w:lang w:val="en-GB"/>
        </w:rPr>
      </w:pPr>
      <w:r w:rsidRPr="001D2559">
        <w:rPr>
          <w:rStyle w:val="Funotenzeichen"/>
          <w:sz w:val="16"/>
          <w:szCs w:val="16"/>
        </w:rPr>
        <w:footnoteRef/>
      </w:r>
      <w:r w:rsidRPr="001D2559">
        <w:rPr>
          <w:sz w:val="16"/>
          <w:szCs w:val="16"/>
          <w:lang w:val="en-GB"/>
        </w:rPr>
        <w:t xml:space="preserve"> Keith PK, Scadding GK, Curr Med Res Opin 2009; 25: 2021-2041 &amp; Curr Med Res Opin 2010; 26: 177.</w:t>
      </w:r>
    </w:p>
  </w:footnote>
  <w:footnote w:id="6">
    <w:p w:rsidR="00CD12B4" w:rsidRDefault="00CD12B4">
      <w:pPr>
        <w:pStyle w:val="Funotentext"/>
      </w:pPr>
      <w:r w:rsidRPr="001D2559">
        <w:rPr>
          <w:rStyle w:val="Funotenzeichen"/>
          <w:sz w:val="16"/>
          <w:szCs w:val="16"/>
        </w:rPr>
        <w:footnoteRef/>
      </w:r>
      <w:r w:rsidRPr="001D2559">
        <w:rPr>
          <w:sz w:val="16"/>
          <w:szCs w:val="16"/>
        </w:rPr>
        <w:t xml:space="preserve"> Vasar M et al., Allergy Asthma Proc 2008; 29: 313-321.</w:t>
      </w:r>
    </w:p>
  </w:footnote>
  <w:footnote w:id="7">
    <w:p w:rsidR="00CD12B4" w:rsidRPr="007C1E6F" w:rsidRDefault="00CD12B4">
      <w:pPr>
        <w:pStyle w:val="Funotentext"/>
        <w:rPr>
          <w:sz w:val="16"/>
          <w:szCs w:val="16"/>
        </w:rPr>
      </w:pPr>
      <w:r w:rsidRPr="007C1E6F">
        <w:rPr>
          <w:rStyle w:val="Funotenzeichen"/>
          <w:sz w:val="16"/>
          <w:szCs w:val="16"/>
        </w:rPr>
        <w:footnoteRef/>
      </w:r>
      <w:r w:rsidRPr="007C1E6F">
        <w:rPr>
          <w:sz w:val="16"/>
          <w:szCs w:val="16"/>
        </w:rPr>
        <w:t xml:space="preserve"> </w:t>
      </w:r>
      <w:r w:rsidRPr="007C1E6F">
        <w:rPr>
          <w:rFonts w:cs="Arial"/>
          <w:sz w:val="16"/>
          <w:szCs w:val="16"/>
        </w:rPr>
        <w:t xml:space="preserve">Meltzer E, Derebery J, Nathan R, Stang P, Campbell U, Stanford R.  </w:t>
      </w:r>
      <w:r w:rsidRPr="007C1E6F">
        <w:rPr>
          <w:rFonts w:cs="Arial"/>
          <w:sz w:val="16"/>
          <w:szCs w:val="16"/>
          <w:lang w:val="en-GB"/>
        </w:rPr>
        <w:t>Attributes related to nasal spray devices and form</w:t>
      </w:r>
      <w:r w:rsidRPr="007C1E6F">
        <w:rPr>
          <w:rFonts w:cs="Arial"/>
          <w:sz w:val="16"/>
          <w:szCs w:val="16"/>
          <w:lang w:val="en-GB"/>
        </w:rPr>
        <w:t>u</w:t>
      </w:r>
      <w:r w:rsidRPr="007C1E6F">
        <w:rPr>
          <w:rFonts w:cs="Arial"/>
          <w:sz w:val="16"/>
          <w:szCs w:val="16"/>
          <w:lang w:val="en-GB"/>
        </w:rPr>
        <w:t xml:space="preserve">lation may contribute to stopping treatment with prescription intranasal sprays.   </w:t>
      </w:r>
      <w:r w:rsidRPr="007C1E6F">
        <w:rPr>
          <w:rStyle w:val="textitalic"/>
          <w:rFonts w:cs="Arial"/>
          <w:iCs/>
          <w:color w:val="000000"/>
          <w:sz w:val="16"/>
          <w:szCs w:val="16"/>
        </w:rPr>
        <w:t>Vorgestellt auf der AAAAI 2007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B4" w:rsidRDefault="00CD12B4" w:rsidP="00681440">
    <w:pPr>
      <w:pStyle w:val="Kopfzeile"/>
      <w:jc w:val="right"/>
    </w:pPr>
    <w:r>
      <w:rPr>
        <w:noProof/>
      </w:rPr>
      <w:drawing>
        <wp:inline distT="0" distB="0" distL="0" distR="0">
          <wp:extent cx="1111250" cy="374650"/>
          <wp:effectExtent l="19050" t="0" r="0" b="0"/>
          <wp:docPr id="1" name="Bild 1" descr="GSK Logo-weißer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 Logo-weißer-Hintergr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12B4" w:rsidRPr="004754D8" w:rsidRDefault="00CD12B4" w:rsidP="004754D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62C"/>
    <w:multiLevelType w:val="hybridMultilevel"/>
    <w:tmpl w:val="15E2F46E"/>
    <w:lvl w:ilvl="0" w:tplc="87EA7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F4A5E"/>
    <w:multiLevelType w:val="hybridMultilevel"/>
    <w:tmpl w:val="905CA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53F67"/>
    <w:multiLevelType w:val="hybridMultilevel"/>
    <w:tmpl w:val="1CAEA1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755E4"/>
    <w:multiLevelType w:val="multilevel"/>
    <w:tmpl w:val="905C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43A05"/>
    <w:multiLevelType w:val="hybridMultilevel"/>
    <w:tmpl w:val="20C238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7583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CEC425A"/>
    <w:multiLevelType w:val="hybridMultilevel"/>
    <w:tmpl w:val="73EA7738"/>
    <w:lvl w:ilvl="0" w:tplc="A2EA6D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E556B"/>
    <w:multiLevelType w:val="multilevel"/>
    <w:tmpl w:val="4022E6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34552D"/>
    <w:multiLevelType w:val="hybridMultilevel"/>
    <w:tmpl w:val="E69C7E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82160"/>
    <w:multiLevelType w:val="multilevel"/>
    <w:tmpl w:val="3E6AF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E7535"/>
    <w:multiLevelType w:val="hybridMultilevel"/>
    <w:tmpl w:val="84BA4CD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DE7567"/>
    <w:multiLevelType w:val="hybridMultilevel"/>
    <w:tmpl w:val="701C54A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853AF5"/>
    <w:multiLevelType w:val="hybridMultilevel"/>
    <w:tmpl w:val="D40C8384"/>
    <w:lvl w:ilvl="0" w:tplc="BD98F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A9068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44E5706"/>
    <w:multiLevelType w:val="hybridMultilevel"/>
    <w:tmpl w:val="DD5E1C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34977"/>
    <w:multiLevelType w:val="hybridMultilevel"/>
    <w:tmpl w:val="85208A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042CF"/>
    <w:multiLevelType w:val="hybridMultilevel"/>
    <w:tmpl w:val="B8FE5F5E"/>
    <w:lvl w:ilvl="0" w:tplc="0262A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67F0D"/>
    <w:multiLevelType w:val="hybridMultilevel"/>
    <w:tmpl w:val="C2142D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865F6A"/>
    <w:multiLevelType w:val="hybridMultilevel"/>
    <w:tmpl w:val="3E6AF8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13A7E"/>
    <w:multiLevelType w:val="hybridMultilevel"/>
    <w:tmpl w:val="69183B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D52C5"/>
    <w:multiLevelType w:val="hybridMultilevel"/>
    <w:tmpl w:val="46D6E8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81E67"/>
    <w:multiLevelType w:val="hybridMultilevel"/>
    <w:tmpl w:val="FFA4C174"/>
    <w:lvl w:ilvl="0" w:tplc="4FE0D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E4CF1"/>
    <w:multiLevelType w:val="hybridMultilevel"/>
    <w:tmpl w:val="0AC692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A487C"/>
    <w:multiLevelType w:val="hybridMultilevel"/>
    <w:tmpl w:val="F55A3166"/>
    <w:lvl w:ilvl="0" w:tplc="A2EA6D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B56FA"/>
    <w:multiLevelType w:val="hybridMultilevel"/>
    <w:tmpl w:val="FC82A8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375F6"/>
    <w:multiLevelType w:val="hybridMultilevel"/>
    <w:tmpl w:val="6CCAF5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C4C64"/>
    <w:multiLevelType w:val="hybridMultilevel"/>
    <w:tmpl w:val="D304C584"/>
    <w:lvl w:ilvl="0" w:tplc="08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E5B1597"/>
    <w:multiLevelType w:val="multilevel"/>
    <w:tmpl w:val="B2A04F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ED34FD"/>
    <w:multiLevelType w:val="hybridMultilevel"/>
    <w:tmpl w:val="3190CC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850AA"/>
    <w:multiLevelType w:val="hybridMultilevel"/>
    <w:tmpl w:val="4022E6E2"/>
    <w:lvl w:ilvl="0" w:tplc="8D9A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AE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2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C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A5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AE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C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0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2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D40562"/>
    <w:multiLevelType w:val="hybridMultilevel"/>
    <w:tmpl w:val="7AAC85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B25A02"/>
    <w:multiLevelType w:val="hybridMultilevel"/>
    <w:tmpl w:val="721ACB7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C209D"/>
    <w:multiLevelType w:val="hybridMultilevel"/>
    <w:tmpl w:val="B2A04F6E"/>
    <w:lvl w:ilvl="0" w:tplc="367CB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761A65"/>
    <w:multiLevelType w:val="hybridMultilevel"/>
    <w:tmpl w:val="913A09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DE0AE3"/>
    <w:multiLevelType w:val="hybridMultilevel"/>
    <w:tmpl w:val="8BE0B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B1873"/>
    <w:multiLevelType w:val="hybridMultilevel"/>
    <w:tmpl w:val="4B7ADE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523EA"/>
    <w:multiLevelType w:val="hybridMultilevel"/>
    <w:tmpl w:val="FE98B6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F0E1CCE"/>
    <w:multiLevelType w:val="multilevel"/>
    <w:tmpl w:val="7AA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1"/>
  </w:num>
  <w:num w:numId="5">
    <w:abstractNumId w:val="3"/>
  </w:num>
  <w:num w:numId="6">
    <w:abstractNumId w:val="18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20"/>
  </w:num>
  <w:num w:numId="12">
    <w:abstractNumId w:val="22"/>
  </w:num>
  <w:num w:numId="13">
    <w:abstractNumId w:val="25"/>
  </w:num>
  <w:num w:numId="14">
    <w:abstractNumId w:val="4"/>
  </w:num>
  <w:num w:numId="15">
    <w:abstractNumId w:val="31"/>
  </w:num>
  <w:num w:numId="16">
    <w:abstractNumId w:val="9"/>
  </w:num>
  <w:num w:numId="17">
    <w:abstractNumId w:val="8"/>
  </w:num>
  <w:num w:numId="18">
    <w:abstractNumId w:val="30"/>
  </w:num>
  <w:num w:numId="19">
    <w:abstractNumId w:val="37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26"/>
  </w:num>
  <w:num w:numId="25">
    <w:abstractNumId w:val="12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</w:num>
  <w:num w:numId="29">
    <w:abstractNumId w:val="21"/>
  </w:num>
  <w:num w:numId="30">
    <w:abstractNumId w:val="16"/>
  </w:num>
  <w:num w:numId="31">
    <w:abstractNumId w:val="34"/>
  </w:num>
  <w:num w:numId="32">
    <w:abstractNumId w:val="5"/>
  </w:num>
  <w:num w:numId="33">
    <w:abstractNumId w:val="15"/>
  </w:num>
  <w:num w:numId="34">
    <w:abstractNumId w:val="14"/>
  </w:num>
  <w:num w:numId="35">
    <w:abstractNumId w:val="28"/>
  </w:num>
  <w:num w:numId="36">
    <w:abstractNumId w:val="10"/>
  </w:num>
  <w:num w:numId="37">
    <w:abstractNumId w:val="36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55587"/>
    <w:rsid w:val="000061AC"/>
    <w:rsid w:val="00020871"/>
    <w:rsid w:val="00020886"/>
    <w:rsid w:val="00056AF6"/>
    <w:rsid w:val="00070404"/>
    <w:rsid w:val="00070C78"/>
    <w:rsid w:val="00071D67"/>
    <w:rsid w:val="00081F24"/>
    <w:rsid w:val="00094046"/>
    <w:rsid w:val="000A1148"/>
    <w:rsid w:val="000A611B"/>
    <w:rsid w:val="000B0314"/>
    <w:rsid w:val="000B3620"/>
    <w:rsid w:val="000B47FE"/>
    <w:rsid w:val="000C2C96"/>
    <w:rsid w:val="000E63EE"/>
    <w:rsid w:val="000F4AD0"/>
    <w:rsid w:val="000F598C"/>
    <w:rsid w:val="00110DA6"/>
    <w:rsid w:val="0011210E"/>
    <w:rsid w:val="00131AC6"/>
    <w:rsid w:val="00132F6B"/>
    <w:rsid w:val="00141278"/>
    <w:rsid w:val="00142655"/>
    <w:rsid w:val="00143CFB"/>
    <w:rsid w:val="00150616"/>
    <w:rsid w:val="00150BDA"/>
    <w:rsid w:val="00155EEB"/>
    <w:rsid w:val="00165FEC"/>
    <w:rsid w:val="00174586"/>
    <w:rsid w:val="00176137"/>
    <w:rsid w:val="00181EE5"/>
    <w:rsid w:val="0019200D"/>
    <w:rsid w:val="0019278A"/>
    <w:rsid w:val="00194A38"/>
    <w:rsid w:val="00194C78"/>
    <w:rsid w:val="001A71C6"/>
    <w:rsid w:val="001B0904"/>
    <w:rsid w:val="001B3735"/>
    <w:rsid w:val="001B3B7D"/>
    <w:rsid w:val="001B6664"/>
    <w:rsid w:val="001C1406"/>
    <w:rsid w:val="001D2559"/>
    <w:rsid w:val="001F0CE8"/>
    <w:rsid w:val="001F6484"/>
    <w:rsid w:val="00201EFF"/>
    <w:rsid w:val="00204CF6"/>
    <w:rsid w:val="002053B6"/>
    <w:rsid w:val="0021243D"/>
    <w:rsid w:val="002141F6"/>
    <w:rsid w:val="002274CA"/>
    <w:rsid w:val="00233D5F"/>
    <w:rsid w:val="002462FE"/>
    <w:rsid w:val="0025604D"/>
    <w:rsid w:val="002560D3"/>
    <w:rsid w:val="00257CAB"/>
    <w:rsid w:val="00263C1E"/>
    <w:rsid w:val="0029315F"/>
    <w:rsid w:val="002961FC"/>
    <w:rsid w:val="002A0CC2"/>
    <w:rsid w:val="002A5962"/>
    <w:rsid w:val="002A63CF"/>
    <w:rsid w:val="002B26B8"/>
    <w:rsid w:val="002B6E1F"/>
    <w:rsid w:val="002C3FE1"/>
    <w:rsid w:val="002C49B8"/>
    <w:rsid w:val="002C4B4B"/>
    <w:rsid w:val="002D0A9F"/>
    <w:rsid w:val="002D5F91"/>
    <w:rsid w:val="002E274B"/>
    <w:rsid w:val="00300D42"/>
    <w:rsid w:val="00305ED5"/>
    <w:rsid w:val="00311AB6"/>
    <w:rsid w:val="0031633E"/>
    <w:rsid w:val="00325FBD"/>
    <w:rsid w:val="003267FE"/>
    <w:rsid w:val="003419CD"/>
    <w:rsid w:val="00347ECC"/>
    <w:rsid w:val="00354A50"/>
    <w:rsid w:val="00360075"/>
    <w:rsid w:val="00367833"/>
    <w:rsid w:val="00371409"/>
    <w:rsid w:val="00380D38"/>
    <w:rsid w:val="003915BE"/>
    <w:rsid w:val="00394E83"/>
    <w:rsid w:val="003B024D"/>
    <w:rsid w:val="003B1BB9"/>
    <w:rsid w:val="003B2D80"/>
    <w:rsid w:val="003B47DD"/>
    <w:rsid w:val="003C1268"/>
    <w:rsid w:val="003C2302"/>
    <w:rsid w:val="003D02D1"/>
    <w:rsid w:val="003D4165"/>
    <w:rsid w:val="003E1D74"/>
    <w:rsid w:val="003E60C3"/>
    <w:rsid w:val="003E65A9"/>
    <w:rsid w:val="003F05F4"/>
    <w:rsid w:val="003F4F8A"/>
    <w:rsid w:val="003F7D58"/>
    <w:rsid w:val="00404E25"/>
    <w:rsid w:val="00410A3B"/>
    <w:rsid w:val="004137F7"/>
    <w:rsid w:val="00417382"/>
    <w:rsid w:val="00420445"/>
    <w:rsid w:val="00424C05"/>
    <w:rsid w:val="0043106B"/>
    <w:rsid w:val="00431772"/>
    <w:rsid w:val="004450AB"/>
    <w:rsid w:val="00450E02"/>
    <w:rsid w:val="00456811"/>
    <w:rsid w:val="0045701E"/>
    <w:rsid w:val="00462EF2"/>
    <w:rsid w:val="00466F43"/>
    <w:rsid w:val="004754D8"/>
    <w:rsid w:val="00481667"/>
    <w:rsid w:val="00485551"/>
    <w:rsid w:val="004A2A6D"/>
    <w:rsid w:val="004A3CB3"/>
    <w:rsid w:val="004D29F0"/>
    <w:rsid w:val="004D33FF"/>
    <w:rsid w:val="004D735A"/>
    <w:rsid w:val="004E373D"/>
    <w:rsid w:val="004E38F8"/>
    <w:rsid w:val="004E5D15"/>
    <w:rsid w:val="004E7CD0"/>
    <w:rsid w:val="00502696"/>
    <w:rsid w:val="00516FF3"/>
    <w:rsid w:val="005201EE"/>
    <w:rsid w:val="005328EF"/>
    <w:rsid w:val="00550E60"/>
    <w:rsid w:val="00557B10"/>
    <w:rsid w:val="005600DC"/>
    <w:rsid w:val="005662C0"/>
    <w:rsid w:val="00591A50"/>
    <w:rsid w:val="00593760"/>
    <w:rsid w:val="005A3EBD"/>
    <w:rsid w:val="005A49E4"/>
    <w:rsid w:val="005B27FD"/>
    <w:rsid w:val="005B6162"/>
    <w:rsid w:val="005B63AA"/>
    <w:rsid w:val="005C0B8C"/>
    <w:rsid w:val="005C7F3D"/>
    <w:rsid w:val="005D2016"/>
    <w:rsid w:val="005D2B6E"/>
    <w:rsid w:val="005D4496"/>
    <w:rsid w:val="005D59DB"/>
    <w:rsid w:val="005D7EEA"/>
    <w:rsid w:val="00604541"/>
    <w:rsid w:val="0060485B"/>
    <w:rsid w:val="006069BC"/>
    <w:rsid w:val="00614F7A"/>
    <w:rsid w:val="00617313"/>
    <w:rsid w:val="0062006E"/>
    <w:rsid w:val="00621FF9"/>
    <w:rsid w:val="00623CD7"/>
    <w:rsid w:val="00633012"/>
    <w:rsid w:val="00641D23"/>
    <w:rsid w:val="00645B39"/>
    <w:rsid w:val="0064658F"/>
    <w:rsid w:val="006547A1"/>
    <w:rsid w:val="00656D6D"/>
    <w:rsid w:val="0066301E"/>
    <w:rsid w:val="00675F28"/>
    <w:rsid w:val="00680F49"/>
    <w:rsid w:val="00681440"/>
    <w:rsid w:val="0069095F"/>
    <w:rsid w:val="00693E96"/>
    <w:rsid w:val="0069548F"/>
    <w:rsid w:val="006954AB"/>
    <w:rsid w:val="00696E3B"/>
    <w:rsid w:val="00697116"/>
    <w:rsid w:val="006B4601"/>
    <w:rsid w:val="006B5AE9"/>
    <w:rsid w:val="006B784C"/>
    <w:rsid w:val="006C17B3"/>
    <w:rsid w:val="006D3BD0"/>
    <w:rsid w:val="006D4960"/>
    <w:rsid w:val="006E6815"/>
    <w:rsid w:val="006F5677"/>
    <w:rsid w:val="00703CD8"/>
    <w:rsid w:val="00705420"/>
    <w:rsid w:val="007055CA"/>
    <w:rsid w:val="00706257"/>
    <w:rsid w:val="00706354"/>
    <w:rsid w:val="007078F8"/>
    <w:rsid w:val="007265F8"/>
    <w:rsid w:val="00734675"/>
    <w:rsid w:val="00734B81"/>
    <w:rsid w:val="00744488"/>
    <w:rsid w:val="007475CC"/>
    <w:rsid w:val="00753120"/>
    <w:rsid w:val="007549F8"/>
    <w:rsid w:val="00755587"/>
    <w:rsid w:val="00764B14"/>
    <w:rsid w:val="007661D6"/>
    <w:rsid w:val="007731E6"/>
    <w:rsid w:val="00773934"/>
    <w:rsid w:val="00773DE0"/>
    <w:rsid w:val="00774553"/>
    <w:rsid w:val="00776E8B"/>
    <w:rsid w:val="007775D9"/>
    <w:rsid w:val="00777B2B"/>
    <w:rsid w:val="00783E65"/>
    <w:rsid w:val="00790DA1"/>
    <w:rsid w:val="00797B0F"/>
    <w:rsid w:val="007B0F2D"/>
    <w:rsid w:val="007B209A"/>
    <w:rsid w:val="007C19A4"/>
    <w:rsid w:val="007C1E6F"/>
    <w:rsid w:val="007C414B"/>
    <w:rsid w:val="007D651A"/>
    <w:rsid w:val="007E184D"/>
    <w:rsid w:val="007F11C3"/>
    <w:rsid w:val="007F75B8"/>
    <w:rsid w:val="00801828"/>
    <w:rsid w:val="00801B56"/>
    <w:rsid w:val="008036A3"/>
    <w:rsid w:val="00817AE9"/>
    <w:rsid w:val="00826E4A"/>
    <w:rsid w:val="00842404"/>
    <w:rsid w:val="0084606C"/>
    <w:rsid w:val="00847AAE"/>
    <w:rsid w:val="00851071"/>
    <w:rsid w:val="00851831"/>
    <w:rsid w:val="00857252"/>
    <w:rsid w:val="00860C0E"/>
    <w:rsid w:val="008646F5"/>
    <w:rsid w:val="00866639"/>
    <w:rsid w:val="00872BA8"/>
    <w:rsid w:val="00874CBC"/>
    <w:rsid w:val="008815D2"/>
    <w:rsid w:val="00891818"/>
    <w:rsid w:val="00891E34"/>
    <w:rsid w:val="008A0016"/>
    <w:rsid w:val="008A44B8"/>
    <w:rsid w:val="008A6BC0"/>
    <w:rsid w:val="008B06BA"/>
    <w:rsid w:val="008B2006"/>
    <w:rsid w:val="008B2FC0"/>
    <w:rsid w:val="008B7C41"/>
    <w:rsid w:val="008C59E9"/>
    <w:rsid w:val="008C7FED"/>
    <w:rsid w:val="008D44DA"/>
    <w:rsid w:val="008E3839"/>
    <w:rsid w:val="008F3ECB"/>
    <w:rsid w:val="00907EAF"/>
    <w:rsid w:val="00912AE2"/>
    <w:rsid w:val="00931A7B"/>
    <w:rsid w:val="00934827"/>
    <w:rsid w:val="00935178"/>
    <w:rsid w:val="009600D7"/>
    <w:rsid w:val="0096287F"/>
    <w:rsid w:val="009656F2"/>
    <w:rsid w:val="00967568"/>
    <w:rsid w:val="0099173B"/>
    <w:rsid w:val="00994C43"/>
    <w:rsid w:val="0099517A"/>
    <w:rsid w:val="009A1D7F"/>
    <w:rsid w:val="009A2DF2"/>
    <w:rsid w:val="009A5772"/>
    <w:rsid w:val="009B5BBB"/>
    <w:rsid w:val="009C05B4"/>
    <w:rsid w:val="009D065A"/>
    <w:rsid w:val="009D0FDE"/>
    <w:rsid w:val="009D49D5"/>
    <w:rsid w:val="009D68B6"/>
    <w:rsid w:val="009E7638"/>
    <w:rsid w:val="009F011D"/>
    <w:rsid w:val="009F23CF"/>
    <w:rsid w:val="009F4F09"/>
    <w:rsid w:val="00A005C5"/>
    <w:rsid w:val="00A009C3"/>
    <w:rsid w:val="00A01E9A"/>
    <w:rsid w:val="00A10626"/>
    <w:rsid w:val="00A10CE9"/>
    <w:rsid w:val="00A15A52"/>
    <w:rsid w:val="00A16D6C"/>
    <w:rsid w:val="00A202FB"/>
    <w:rsid w:val="00A20942"/>
    <w:rsid w:val="00A2194E"/>
    <w:rsid w:val="00A3623C"/>
    <w:rsid w:val="00A40D23"/>
    <w:rsid w:val="00A4300B"/>
    <w:rsid w:val="00A46724"/>
    <w:rsid w:val="00A5559F"/>
    <w:rsid w:val="00A647E3"/>
    <w:rsid w:val="00A64857"/>
    <w:rsid w:val="00A66515"/>
    <w:rsid w:val="00A705E4"/>
    <w:rsid w:val="00A72F62"/>
    <w:rsid w:val="00A77B80"/>
    <w:rsid w:val="00A93878"/>
    <w:rsid w:val="00A94C63"/>
    <w:rsid w:val="00A95A41"/>
    <w:rsid w:val="00AA229A"/>
    <w:rsid w:val="00AE09CE"/>
    <w:rsid w:val="00AE1EF5"/>
    <w:rsid w:val="00AE7D1B"/>
    <w:rsid w:val="00AF0930"/>
    <w:rsid w:val="00AF2BC1"/>
    <w:rsid w:val="00B11C95"/>
    <w:rsid w:val="00B20D27"/>
    <w:rsid w:val="00B2116F"/>
    <w:rsid w:val="00B256E4"/>
    <w:rsid w:val="00B415CF"/>
    <w:rsid w:val="00B42D7E"/>
    <w:rsid w:val="00B458D1"/>
    <w:rsid w:val="00B504AC"/>
    <w:rsid w:val="00B57025"/>
    <w:rsid w:val="00B57AC7"/>
    <w:rsid w:val="00B65D94"/>
    <w:rsid w:val="00B95E98"/>
    <w:rsid w:val="00BB0734"/>
    <w:rsid w:val="00BB45C3"/>
    <w:rsid w:val="00BB5297"/>
    <w:rsid w:val="00BC53BE"/>
    <w:rsid w:val="00BD23F8"/>
    <w:rsid w:val="00BD3EE3"/>
    <w:rsid w:val="00BD7021"/>
    <w:rsid w:val="00BE41BA"/>
    <w:rsid w:val="00BE57F4"/>
    <w:rsid w:val="00BE709B"/>
    <w:rsid w:val="00BE7B56"/>
    <w:rsid w:val="00BF785E"/>
    <w:rsid w:val="00C0418B"/>
    <w:rsid w:val="00C202B3"/>
    <w:rsid w:val="00C321DC"/>
    <w:rsid w:val="00C32634"/>
    <w:rsid w:val="00C343B2"/>
    <w:rsid w:val="00C344EF"/>
    <w:rsid w:val="00C435DF"/>
    <w:rsid w:val="00C50B7B"/>
    <w:rsid w:val="00C56541"/>
    <w:rsid w:val="00C57AD3"/>
    <w:rsid w:val="00C61482"/>
    <w:rsid w:val="00C62DAC"/>
    <w:rsid w:val="00C63953"/>
    <w:rsid w:val="00C74EE7"/>
    <w:rsid w:val="00C828A3"/>
    <w:rsid w:val="00C9033F"/>
    <w:rsid w:val="00CA575D"/>
    <w:rsid w:val="00CA76B3"/>
    <w:rsid w:val="00CB660B"/>
    <w:rsid w:val="00CC7054"/>
    <w:rsid w:val="00CD12B4"/>
    <w:rsid w:val="00CD55B4"/>
    <w:rsid w:val="00CE2087"/>
    <w:rsid w:val="00CF2CA0"/>
    <w:rsid w:val="00CF310B"/>
    <w:rsid w:val="00D0591A"/>
    <w:rsid w:val="00D061E5"/>
    <w:rsid w:val="00D0777C"/>
    <w:rsid w:val="00D20B00"/>
    <w:rsid w:val="00D214A7"/>
    <w:rsid w:val="00D243BD"/>
    <w:rsid w:val="00D52F30"/>
    <w:rsid w:val="00D57369"/>
    <w:rsid w:val="00D60D5C"/>
    <w:rsid w:val="00D62DBB"/>
    <w:rsid w:val="00D65CC5"/>
    <w:rsid w:val="00D66B43"/>
    <w:rsid w:val="00D7068D"/>
    <w:rsid w:val="00D72380"/>
    <w:rsid w:val="00D7264B"/>
    <w:rsid w:val="00D74181"/>
    <w:rsid w:val="00D835AE"/>
    <w:rsid w:val="00D85D12"/>
    <w:rsid w:val="00D90A60"/>
    <w:rsid w:val="00D9215D"/>
    <w:rsid w:val="00DA252A"/>
    <w:rsid w:val="00DB7296"/>
    <w:rsid w:val="00DD5FF1"/>
    <w:rsid w:val="00DE79F7"/>
    <w:rsid w:val="00DF2B4B"/>
    <w:rsid w:val="00DF37BD"/>
    <w:rsid w:val="00E05B6E"/>
    <w:rsid w:val="00E139FF"/>
    <w:rsid w:val="00E14319"/>
    <w:rsid w:val="00E21563"/>
    <w:rsid w:val="00E23689"/>
    <w:rsid w:val="00E2483A"/>
    <w:rsid w:val="00E32619"/>
    <w:rsid w:val="00E340ED"/>
    <w:rsid w:val="00E40BC5"/>
    <w:rsid w:val="00E4389C"/>
    <w:rsid w:val="00E43B8F"/>
    <w:rsid w:val="00E451FE"/>
    <w:rsid w:val="00E4560F"/>
    <w:rsid w:val="00E474B0"/>
    <w:rsid w:val="00E564BE"/>
    <w:rsid w:val="00E64026"/>
    <w:rsid w:val="00E669D2"/>
    <w:rsid w:val="00E71BEE"/>
    <w:rsid w:val="00E84997"/>
    <w:rsid w:val="00E86D6F"/>
    <w:rsid w:val="00E95EDD"/>
    <w:rsid w:val="00EA5AB8"/>
    <w:rsid w:val="00EB582E"/>
    <w:rsid w:val="00EB758C"/>
    <w:rsid w:val="00ED00C5"/>
    <w:rsid w:val="00ED4ACA"/>
    <w:rsid w:val="00ED6C41"/>
    <w:rsid w:val="00EE1F6A"/>
    <w:rsid w:val="00EE6BD3"/>
    <w:rsid w:val="00EF0D83"/>
    <w:rsid w:val="00EF3271"/>
    <w:rsid w:val="00EF3B1F"/>
    <w:rsid w:val="00F05BAF"/>
    <w:rsid w:val="00F20C08"/>
    <w:rsid w:val="00F23E83"/>
    <w:rsid w:val="00F24C1F"/>
    <w:rsid w:val="00F24CD4"/>
    <w:rsid w:val="00F25800"/>
    <w:rsid w:val="00F336F9"/>
    <w:rsid w:val="00F3573A"/>
    <w:rsid w:val="00F468AC"/>
    <w:rsid w:val="00F57B4A"/>
    <w:rsid w:val="00F60630"/>
    <w:rsid w:val="00F651F6"/>
    <w:rsid w:val="00F75703"/>
    <w:rsid w:val="00F85124"/>
    <w:rsid w:val="00FA44F2"/>
    <w:rsid w:val="00FB4A5B"/>
    <w:rsid w:val="00FC2D02"/>
    <w:rsid w:val="00FC71E8"/>
    <w:rsid w:val="00FD3C6C"/>
    <w:rsid w:val="00FD521C"/>
    <w:rsid w:val="00FF2F3C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D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63C1E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263C1E"/>
    <w:pPr>
      <w:keepNext/>
      <w:outlineLvl w:val="1"/>
    </w:pPr>
    <w:rPr>
      <w:rFonts w:ascii="Optimum" w:hAnsi="Optimum"/>
      <w:b/>
      <w:sz w:val="23"/>
    </w:rPr>
  </w:style>
  <w:style w:type="paragraph" w:styleId="berschrift4">
    <w:name w:val="heading 4"/>
    <w:basedOn w:val="Standard"/>
    <w:next w:val="Standard"/>
    <w:qFormat/>
    <w:rsid w:val="00263C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789"/>
      </w:tabs>
      <w:ind w:right="-1044"/>
      <w:jc w:val="center"/>
      <w:outlineLvl w:val="3"/>
    </w:pPr>
    <w:rPr>
      <w:sz w:val="28"/>
    </w:rPr>
  </w:style>
  <w:style w:type="paragraph" w:styleId="berschrift8">
    <w:name w:val="heading 8"/>
    <w:basedOn w:val="Standard"/>
    <w:next w:val="Standard"/>
    <w:qFormat/>
    <w:rsid w:val="00263C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789"/>
      </w:tabs>
      <w:ind w:right="-56"/>
      <w:jc w:val="center"/>
      <w:outlineLvl w:val="7"/>
    </w:pPr>
    <w:rPr>
      <w:b/>
      <w:snapToGrid w:val="0"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263C1E"/>
    <w:pPr>
      <w:ind w:right="-715"/>
    </w:pPr>
    <w:rPr>
      <w:rFonts w:ascii="Optima" w:hAnsi="Optima"/>
      <w:b/>
      <w:sz w:val="26"/>
    </w:rPr>
  </w:style>
  <w:style w:type="paragraph" w:styleId="Funotentext">
    <w:name w:val="footnote text"/>
    <w:basedOn w:val="Standard"/>
    <w:semiHidden/>
    <w:rsid w:val="00EF0D83"/>
    <w:rPr>
      <w:sz w:val="20"/>
    </w:rPr>
  </w:style>
  <w:style w:type="character" w:styleId="Funotenzeichen">
    <w:name w:val="footnote reference"/>
    <w:basedOn w:val="Absatz-Standardschriftart"/>
    <w:semiHidden/>
    <w:rsid w:val="00EF0D83"/>
    <w:rPr>
      <w:vertAlign w:val="superscript"/>
    </w:rPr>
  </w:style>
  <w:style w:type="paragraph" w:styleId="Endnotentext">
    <w:name w:val="endnote text"/>
    <w:basedOn w:val="Standard"/>
    <w:semiHidden/>
    <w:rsid w:val="00F336F9"/>
    <w:rPr>
      <w:sz w:val="20"/>
    </w:rPr>
  </w:style>
  <w:style w:type="character" w:styleId="Endnotenzeichen">
    <w:name w:val="endnote reference"/>
    <w:basedOn w:val="Absatz-Standardschriftart"/>
    <w:semiHidden/>
    <w:rsid w:val="00F336F9"/>
    <w:rPr>
      <w:vertAlign w:val="superscript"/>
    </w:rPr>
  </w:style>
  <w:style w:type="paragraph" w:styleId="Kopfzeile">
    <w:name w:val="header"/>
    <w:basedOn w:val="Standard"/>
    <w:rsid w:val="00E143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43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9711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053B6"/>
  </w:style>
  <w:style w:type="character" w:styleId="Hyperlink">
    <w:name w:val="Hyperlink"/>
    <w:basedOn w:val="Absatz-Standardschriftart"/>
    <w:rsid w:val="009D0FDE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132F6B"/>
    <w:rPr>
      <w:sz w:val="16"/>
      <w:szCs w:val="16"/>
    </w:rPr>
  </w:style>
  <w:style w:type="paragraph" w:styleId="Kommentartext">
    <w:name w:val="annotation text"/>
    <w:basedOn w:val="Standard"/>
    <w:semiHidden/>
    <w:rsid w:val="00132F6B"/>
    <w:rPr>
      <w:rFonts w:ascii="Helvetica CondensedLight" w:hAnsi="Helvetica CondensedLight"/>
      <w:sz w:val="20"/>
      <w:lang w:val="en-US" w:eastAsia="en-GB"/>
    </w:rPr>
  </w:style>
  <w:style w:type="character" w:customStyle="1" w:styleId="textitalic">
    <w:name w:val="text_italic"/>
    <w:basedOn w:val="Absatz-Standardschriftart"/>
    <w:rsid w:val="0013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Impfstoff gegen Gebärmutterhalskrebs „Cervarix®“: </vt:lpstr>
    </vt:vector>
  </TitlesOfParts>
  <Company>GlaxoSmithKline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Impfstoff gegen Gebärmutterhalskrebs „Cervarix®“: </dc:title>
  <dc:subject/>
  <dc:creator>szl4626</dc:creator>
  <cp:keywords/>
  <dc:description/>
  <cp:lastModifiedBy>cqm88650</cp:lastModifiedBy>
  <cp:revision>3</cp:revision>
  <cp:lastPrinted>2010-02-19T15:42:00Z</cp:lastPrinted>
  <dcterms:created xsi:type="dcterms:W3CDTF">2010-02-19T15:41:00Z</dcterms:created>
  <dcterms:modified xsi:type="dcterms:W3CDTF">2010-02-19T16:25:00Z</dcterms:modified>
</cp:coreProperties>
</file>