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-munkalap11.xlsx" ContentType="application/vnd.openxmlformats-officedocument.spreadsheetml.shee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has a chart: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MM-EXAMPLE.dbo.Munka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19616290"/>
        <c:axId val="33020960"/>
      </c:barChart>
      <c:catAx>
        <c:axId val="19616290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3020960"/>
        <c:crosses val="autoZero"/>
        <c:auto val="1"/>
        <c:lblAlgn val="ctr"/>
        <c:lblOffset val="100"/>
        <c:noMultiLvlLbl val="0"/>
      </c:catAx>
      <c:valAx>
        <c:axId val="3302096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9616290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LibreOfficeDev/7.0.0.0.alpha0$Windows_X86_64 LibreOffice_project/4102c4df3ae0446c9cdd55d64459d975ed18103f</Application>
  <Pages>1</Pages>
  <Words>4</Words>
  <Characters>14</Characters>
  <CharactersWithSpaces>17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2020-07-20T06:21:00Z</dcterms:created>
  <dc:creator>Kelemen Gábor 2</dc:creator>
  <dc:description/>
  <dc:language>hu-HU</dc:language>
  <cp:lastModifiedBy/>
  <dcterms:modified xsi:type="dcterms:W3CDTF">2020-07-20T09:03:32Z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