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7185" w:type="dxa"/>
        <w:jc w:val="left"/>
        <w:tblInd w:w="-108" w:type="dxa"/>
        <w:tblCellMar>
          <w:top w:w="0" w:type="dxa"/>
          <w:left w:w="108" w:type="dxa"/>
          <w:bottom w:w="0" w:type="dxa"/>
          <w:right w:w="108" w:type="dxa"/>
        </w:tblCellMar>
      </w:tblPr>
      <w:tblGrid>
        <w:gridCol w:w="2395"/>
        <w:gridCol w:w="2395"/>
        <w:gridCol w:w="2395"/>
      </w:tblGrid>
      <w:tr>
        <w:trPr>
          <w:trHeight w:val="294" w:hRule="atLeast"/>
        </w:trPr>
        <w:tc>
          <w:tcPr>
            <w:tcW w:w="2395" w:type="dxa"/>
            <w:tcBorders/>
            <w:shd w:fill="auto" w:val="clear"/>
          </w:tcPr>
          <w:p>
            <w:pPr>
              <w:pStyle w:val="Pa22"/>
              <w:tabs>
                <w:tab w:val="clear" w:pos="720"/>
              </w:tabs>
              <w:spacing w:lineRule="atLeast" w:line="161"/>
              <w:rPr/>
            </w:pPr>
            <w:r>
              <w:rPr>
                <w:rFonts w:ascii="Tahoma" w:hAnsi="Tahoma"/>
                <w:b/>
                <w:color w:val="000000"/>
                <w:sz w:val="16"/>
              </w:rPr>
              <w:t>Макрос</w:t>
            </w:r>
          </w:p>
        </w:tc>
        <w:tc>
          <w:tcPr>
            <w:tcW w:w="2395" w:type="dxa"/>
            <w:tcBorders/>
            <w:shd w:fill="auto" w:val="clear"/>
          </w:tcPr>
          <w:p>
            <w:pPr>
              <w:pStyle w:val="Pa22"/>
              <w:tabs>
                <w:tab w:val="clear" w:pos="720"/>
              </w:tabs>
              <w:spacing w:lineRule="atLeast" w:line="161"/>
              <w:rPr/>
            </w:pPr>
            <w:r>
              <w:rPr>
                <w:rFonts w:ascii="Tahoma" w:hAnsi="Tahoma"/>
                <w:b/>
                <w:color w:val="000000"/>
                <w:sz w:val="16"/>
              </w:rPr>
              <w:t>Тип значения</w:t>
            </w:r>
          </w:p>
          <w:p>
            <w:pPr>
              <w:pStyle w:val="Pa22"/>
              <w:tabs>
                <w:tab w:val="clear" w:pos="720"/>
              </w:tabs>
              <w:spacing w:lineRule="atLeast" w:line="161"/>
              <w:rPr/>
            </w:pPr>
            <w:r>
              <w:rPr>
                <w:rFonts w:ascii="Tahoma" w:hAnsi="Tahoma"/>
                <w:b/>
                <w:i w:val="false"/>
                <w:color w:val="000000"/>
                <w:sz w:val="16"/>
              </w:rPr>
              <w:t>(Windows/POSIX)</w:t>
            </w:r>
          </w:p>
        </w:tc>
        <w:tc>
          <w:tcPr>
            <w:tcW w:w="2395" w:type="dxa"/>
            <w:tcBorders/>
            <w:shd w:fill="auto" w:val="clear"/>
          </w:tcPr>
          <w:p>
            <w:pPr>
              <w:pStyle w:val="Pa22"/>
              <w:tabs>
                <w:tab w:val="clear" w:pos="720"/>
              </w:tabs>
              <w:spacing w:lineRule="atLeast" w:line="161"/>
              <w:rPr/>
            </w:pPr>
            <w:r>
              <w:rPr>
                <w:rFonts w:ascii="Tahoma" w:hAnsi="Tahoma"/>
                <w:b/>
                <w:color w:val="000000"/>
                <w:sz w:val="16"/>
              </w:rPr>
              <w:t>Описание</w:t>
            </w:r>
          </w:p>
        </w:tc>
      </w:tr>
      <w:tr>
        <w:trPr>
          <w:trHeight w:val="906" w:hRule="atLeast"/>
        </w:trPr>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SO_RCVBUF</w:t>
            </w:r>
          </w:p>
        </w:tc>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int</w:t>
            </w:r>
          </w:p>
        </w:tc>
        <w:tc>
          <w:tcPr>
            <w:tcW w:w="2395" w:type="dxa"/>
            <w:tcBorders/>
            <w:shd w:fill="auto" w:val="clear"/>
          </w:tcPr>
          <w:p>
            <w:pPr>
              <w:pStyle w:val="Pa42"/>
              <w:tabs>
                <w:tab w:val="clear" w:pos="720"/>
              </w:tabs>
              <w:spacing w:lineRule="atLeast" w:line="171" w:before="20" w:after="0"/>
              <w:rPr/>
            </w:pPr>
            <w:r>
              <w:rPr>
                <w:rFonts w:ascii="PetersburgC" w:hAnsi="PetersburgC"/>
                <w:color w:val="000000"/>
                <w:sz w:val="17"/>
              </w:rPr>
              <w:t>Определяет размер буфера, выделяемого этим сокетом для входящих пакетов. Входящие данные накаплива</w:t>
              <w:softHyphen/>
              <w:t xml:space="preserve">ются в приемном буфере, пока процесс, владеющий сокетом, не вызовет </w:t>
            </w:r>
            <w:r>
              <w:rPr>
                <w:rStyle w:val="A2"/>
                <w:rFonts w:ascii="Consolas" w:hAnsi="Consolas"/>
                <w:color w:val="000000"/>
                <w:sz w:val="16"/>
              </w:rPr>
              <w:t xml:space="preserve">recv </w:t>
            </w:r>
            <w:r>
              <w:rPr>
                <w:rFonts w:ascii="PetersburgC" w:hAnsi="PetersburgC"/>
                <w:color w:val="000000"/>
                <w:sz w:val="17"/>
              </w:rPr>
              <w:t xml:space="preserve">или </w:t>
            </w:r>
            <w:r>
              <w:rPr>
                <w:rStyle w:val="A2"/>
                <w:rFonts w:ascii="Consolas" w:hAnsi="Consolas"/>
                <w:color w:val="000000"/>
                <w:sz w:val="16"/>
              </w:rPr>
              <w:t>recvfrom</w:t>
            </w:r>
            <w:r>
              <w:rPr>
                <w:rFonts w:ascii="PetersburgC" w:hAnsi="PetersburgC"/>
                <w:color w:val="000000"/>
                <w:sz w:val="17"/>
              </w:rPr>
              <w:t>, чтобы извлечь их. Не забывайте, что пропускная способность TCP ограничивается размером окна приема, который не мо</w:t>
              <w:softHyphen/>
              <w:t>жет быть больше размера приемного буфера в сокете. То есть, управляя этим параметром, можно влиять на пропускную способность</w:t>
            </w:r>
          </w:p>
        </w:tc>
      </w:tr>
      <w:tr>
        <w:trPr>
          <w:trHeight w:val="606" w:hRule="atLeast"/>
        </w:trPr>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SO_REUSEADDR</w:t>
            </w:r>
          </w:p>
        </w:tc>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Bool</w:t>
            </w:r>
            <w:r>
              <w:rPr>
                <w:rFonts w:ascii="PetersburgC" w:hAnsi="PetersburgC"/>
                <w:color w:val="000000"/>
                <w:sz w:val="17"/>
              </w:rPr>
              <w:t>/</w:t>
            </w:r>
            <w:r>
              <w:rPr>
                <w:rStyle w:val="A2"/>
                <w:rFonts w:ascii="Consolas" w:hAnsi="Consolas"/>
                <w:color w:val="000000"/>
                <w:sz w:val="16"/>
              </w:rPr>
              <w:t>int</w:t>
            </w:r>
          </w:p>
        </w:tc>
        <w:tc>
          <w:tcPr>
            <w:tcW w:w="2395" w:type="dxa"/>
            <w:tcBorders/>
            <w:shd w:fill="auto" w:val="clear"/>
          </w:tcPr>
          <w:p>
            <w:pPr>
              <w:pStyle w:val="Pa42"/>
              <w:tabs>
                <w:tab w:val="clear" w:pos="720"/>
              </w:tabs>
              <w:spacing w:lineRule="atLeast" w:line="171" w:before="20" w:after="0"/>
              <w:rPr/>
            </w:pPr>
            <w:r>
              <w:rPr>
                <w:rFonts w:ascii="PetersburgC" w:hAnsi="PetersburgC"/>
                <w:color w:val="000000"/>
                <w:sz w:val="17"/>
              </w:rPr>
              <w:t>Указывает, должен ли сетевой уровень позволять дан</w:t>
              <w:softHyphen/>
              <w:t>ному сокету связывать IP-адрес и порт, уже связанные с другим сокетом. Это может пригодиться для отладки и в приложениях, перехватывающих трафик. Некото</w:t>
              <w:softHyphen/>
              <w:t>рые операционные системы требуют, чтобы вызываю</w:t>
              <w:softHyphen/>
              <w:t>щий процесс обладал повышенными привилегиями</w:t>
            </w:r>
          </w:p>
        </w:tc>
      </w:tr>
      <w:tr>
        <w:trPr>
          <w:trHeight w:val="306" w:hRule="atLeast"/>
        </w:trPr>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SO_RECVTIMEO</w:t>
            </w:r>
          </w:p>
        </w:tc>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DWORD</w:t>
            </w:r>
            <w:r>
              <w:rPr>
                <w:rFonts w:ascii="PetersburgC" w:hAnsi="PetersburgC"/>
                <w:color w:val="000000"/>
                <w:sz w:val="17"/>
              </w:rPr>
              <w:t>/</w:t>
            </w:r>
            <w:r>
              <w:rPr>
                <w:rStyle w:val="A2"/>
                <w:rFonts w:ascii="Consolas" w:hAnsi="Consolas"/>
                <w:color w:val="000000"/>
                <w:sz w:val="16"/>
              </w:rPr>
              <w:t>timeval</w:t>
            </w:r>
          </w:p>
        </w:tc>
        <w:tc>
          <w:tcPr>
            <w:tcW w:w="2395" w:type="dxa"/>
            <w:tcBorders/>
            <w:shd w:fill="auto" w:val="clear"/>
          </w:tcPr>
          <w:p>
            <w:pPr>
              <w:pStyle w:val="Pa42"/>
              <w:tabs>
                <w:tab w:val="clear" w:pos="720"/>
              </w:tabs>
              <w:spacing w:lineRule="atLeast" w:line="171" w:before="20" w:after="0"/>
              <w:rPr/>
            </w:pPr>
            <w:r>
              <w:rPr>
                <w:rFonts w:ascii="PetersburgC" w:hAnsi="PetersburgC"/>
                <w:color w:val="000000"/>
                <w:sz w:val="17"/>
              </w:rPr>
              <w:t>Определяет время (в миллисекундах в Windows), по истечении которого заблокированная операция чтения должна прервать ожидание и вернуть управление</w:t>
            </w:r>
          </w:p>
        </w:tc>
      </w:tr>
      <w:tr>
        <w:trPr>
          <w:trHeight w:val="1106" w:hRule="atLeast"/>
        </w:trPr>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SO_SNDBUF</w:t>
            </w:r>
          </w:p>
        </w:tc>
        <w:tc>
          <w:tcPr>
            <w:tcW w:w="2395" w:type="dxa"/>
            <w:tcBorders/>
            <w:shd w:fill="auto" w:val="clear"/>
          </w:tcPr>
          <w:p>
            <w:pPr>
              <w:pStyle w:val="Pa42"/>
              <w:tabs>
                <w:tab w:val="clear" w:pos="720"/>
              </w:tabs>
              <w:spacing w:lineRule="atLeast" w:line="161" w:before="20" w:after="0"/>
              <w:rPr/>
            </w:pPr>
            <w:r>
              <w:rPr>
                <w:rStyle w:val="A2"/>
                <w:rFonts w:ascii="Consolas" w:hAnsi="Consolas"/>
                <w:color w:val="000000"/>
                <w:sz w:val="16"/>
              </w:rPr>
              <w:t>int</w:t>
            </w:r>
          </w:p>
        </w:tc>
        <w:tc>
          <w:tcPr>
            <w:tcW w:w="2395" w:type="dxa"/>
            <w:tcBorders/>
            <w:shd w:fill="auto" w:val="clear"/>
          </w:tcPr>
          <w:p>
            <w:pPr>
              <w:pStyle w:val="Pa42"/>
              <w:tabs>
                <w:tab w:val="clear" w:pos="720"/>
              </w:tabs>
              <w:spacing w:lineRule="atLeast" w:line="171" w:before="20" w:after="0"/>
              <w:rPr/>
            </w:pPr>
            <w:r>
              <w:rPr>
                <w:rFonts w:ascii="PetersburgC" w:hAnsi="PetersburgC"/>
                <w:color w:val="000000"/>
                <w:sz w:val="17"/>
              </w:rPr>
              <w:t>Определяет размер буфера, выделяемого этим сокетом для исходящих пакетов. Пропускная способность для исходящего трафика ограничивается сетевым уровнем. Если процесс посылает данные быстрее, чем сетевой уровень успевает их отправлять, эти данные будут нака</w:t>
              <w:softHyphen/>
              <w:t xml:space="preserve">пливаться в исходящем буфере. Сокеты, использующие надежные протоколы, такие как TCP, хранят данные в исходящем буфере, пока принимающая сторона не подтвердит их получение. Когда исходящий буфер заполняется, функции </w:t>
            </w:r>
            <w:r>
              <w:rPr>
                <w:rStyle w:val="A2"/>
                <w:rFonts w:ascii="Consolas" w:hAnsi="Consolas"/>
                <w:color w:val="000000"/>
                <w:sz w:val="16"/>
              </w:rPr>
              <w:t xml:space="preserve">send </w:t>
            </w:r>
            <w:r>
              <w:rPr>
                <w:rFonts w:ascii="PetersburgC" w:hAnsi="PetersburgC"/>
                <w:color w:val="000000"/>
                <w:sz w:val="17"/>
              </w:rPr>
              <w:t xml:space="preserve">и </w:t>
            </w:r>
            <w:r>
              <w:rPr>
                <w:rStyle w:val="A2"/>
                <w:rFonts w:ascii="Consolas" w:hAnsi="Consolas"/>
                <w:color w:val="000000"/>
                <w:sz w:val="16"/>
              </w:rPr>
              <w:t xml:space="preserve">sendto </w:t>
            </w:r>
            <w:r>
              <w:rPr>
                <w:rFonts w:ascii="PetersburgC" w:hAnsi="PetersburgC"/>
                <w:color w:val="000000"/>
                <w:sz w:val="17"/>
              </w:rPr>
              <w:t>блокируются до освобождения необходимого объема в буфере</w:t>
            </w:r>
          </w:p>
        </w:tc>
      </w:tr>
    </w:tbl>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nsolas">
    <w:charset w:val="01"/>
    <w:family w:val="roman"/>
    <w:pitch w:val="variable"/>
  </w:font>
  <w:font w:name="Liberation Sans">
    <w:altName w:val="Arial"/>
    <w:charset w:val="01"/>
    <w:family w:val="swiss"/>
    <w:pitch w:val="variable"/>
  </w:font>
  <w:font w:name="Tahoma">
    <w:charset w:val="01"/>
    <w:family w:val="roman"/>
    <w:pitch w:val="variable"/>
  </w:font>
  <w:font w:name="PetersburgC">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Arial Unicode MS"/>
      <w:color w:val="auto"/>
      <w:kern w:val="2"/>
      <w:sz w:val="24"/>
      <w:szCs w:val="24"/>
      <w:lang w:val="ru-RU" w:eastAsia="zh-CN" w:bidi="hi-IN"/>
    </w:rPr>
  </w:style>
  <w:style w:type="character" w:styleId="A2">
    <w:name w:val="A2"/>
    <w:qFormat/>
    <w:rPr>
      <w:rFonts w:ascii="Consolas" w:hAnsi="Consolas"/>
      <w:sz w:val="16"/>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Pa13">
    <w:name w:val="Pa13"/>
    <w:qFormat/>
    <w:pPr>
      <w:widowControl/>
      <w:spacing w:lineRule="atLeast" w:line="241"/>
    </w:pPr>
    <w:rPr>
      <w:rFonts w:ascii="Liberation Serif" w:hAnsi="Liberation Serif" w:eastAsia="NSimSun" w:cs="Arial Unicode MS"/>
      <w:color w:val="auto"/>
      <w:kern w:val="2"/>
      <w:sz w:val="24"/>
      <w:szCs w:val="24"/>
      <w:lang w:val="ru-RU" w:eastAsia="zh-CN" w:bidi="hi-IN"/>
    </w:rPr>
  </w:style>
  <w:style w:type="paragraph" w:styleId="Pa22">
    <w:name w:val="Pa22"/>
    <w:qFormat/>
    <w:pPr>
      <w:widowControl/>
      <w:spacing w:lineRule="atLeast" w:line="161"/>
    </w:pPr>
    <w:rPr>
      <w:rFonts w:ascii="Liberation Serif" w:hAnsi="Liberation Serif" w:eastAsia="NSimSun" w:cs="Arial Unicode MS"/>
      <w:color w:val="auto"/>
      <w:kern w:val="2"/>
      <w:sz w:val="24"/>
      <w:szCs w:val="24"/>
      <w:lang w:val="ru-RU" w:eastAsia="zh-CN" w:bidi="hi-IN"/>
    </w:rPr>
  </w:style>
  <w:style w:type="paragraph" w:styleId="Pa42">
    <w:name w:val="Pa42"/>
    <w:qFormat/>
    <w:pPr>
      <w:widowControl/>
      <w:spacing w:lineRule="atLeast" w:line="171"/>
    </w:pPr>
    <w:rPr>
      <w:rFonts w:ascii="Liberation Serif" w:hAnsi="Liberation Serif" w:eastAsia="NSimSun" w:cs="Arial Unicode MS"/>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1</Pages>
  <Words>194</Words>
  <Characters>1339</Characters>
  <CharactersWithSpaces>1517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2016-08-17T17:25:00Z</dcterms:created>
  <dc:creator/>
  <dc:description/>
  <dc:language>ru-RU</dc:language>
  <cp:lastModifiedBy/>
  <dcterms:modified xsi:type="dcterms:W3CDTF">2019-07-03T18:05:39Z</dcterms:modified>
  <cp:revision>1</cp:revision>
  <dc:subject/>
  <dc:title/>
</cp:coreProperties>
</file>