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C3" w:rsidRPr="00FC6F99" w:rsidRDefault="00531CC3" w:rsidP="00531CC3">
      <w:pPr>
        <w:rPr>
          <w:rFonts w:asciiTheme="majorHAnsi" w:eastAsiaTheme="majorEastAsia" w:hAnsiTheme="majorHAnsi" w:cstheme="majorBidi"/>
          <w:b/>
          <w:color w:val="00000A"/>
          <w:sz w:val="24"/>
          <w:szCs w:val="24"/>
          <w:lang w:val="en-CA"/>
        </w:rPr>
      </w:pPr>
    </w:p>
    <w:p w:rsidR="00531CC3" w:rsidRDefault="00531CC3" w:rsidP="00531CC3">
      <w:pPr>
        <w:pStyle w:val="Titre5"/>
      </w:pPr>
      <w:bookmarkStart w:id="0" w:name="_Table_2._Targeted"/>
      <w:bookmarkEnd w:id="0"/>
      <w:r>
        <w:t xml:space="preserve">Table X Targeted </w:t>
      </w:r>
      <w:proofErr w:type="spellStart"/>
      <w:r>
        <w:t>Immunomodulators</w:t>
      </w:r>
      <w:proofErr w:type="spellEnd"/>
      <w:r>
        <w:t xml:space="preserve"> for Moderate-to-Severe Plaque Psoriasis</w:t>
      </w:r>
    </w:p>
    <w:tbl>
      <w:tblPr>
        <w:tblStyle w:val="GridTable5Dark-Accent53"/>
        <w:tblW w:w="5000" w:type="pct"/>
        <w:tblLook w:val="04A0" w:firstRow="1" w:lastRow="0" w:firstColumn="1" w:lastColumn="0" w:noHBand="0" w:noVBand="1"/>
      </w:tblPr>
      <w:tblGrid>
        <w:gridCol w:w="1197"/>
        <w:gridCol w:w="1948"/>
        <w:gridCol w:w="1812"/>
        <w:gridCol w:w="1417"/>
        <w:gridCol w:w="2256"/>
      </w:tblGrid>
      <w:tr w:rsidR="00531CC3" w:rsidTr="00E9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  <w:r>
              <w:rPr>
                <w:color w:val="FFFFFF"/>
              </w:rPr>
              <w:t>Mechanism of Action</w:t>
            </w: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Name and Company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FDA approval for plaque psoriasis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Market availability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Dosing</w:t>
            </w: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  <w:r>
              <w:rPr>
                <w:color w:val="FFFFFF"/>
              </w:rPr>
              <w:t>TNFα</w:t>
            </w: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adalimumab / </w:t>
            </w:r>
            <w:proofErr w:type="spellStart"/>
            <w:r>
              <w:t>Humira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Abott</w:t>
            </w:r>
            <w:proofErr w:type="spellEnd"/>
            <w:r>
              <w:t xml:space="preserve"> 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2008/01/18 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80mg subcutaneously, then 40mg every other week starting 1 week after initial dose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adalimumab-</w:t>
            </w:r>
            <w:proofErr w:type="spellStart"/>
            <w:r>
              <w:t>atto</w:t>
            </w:r>
            <w:proofErr w:type="spellEnd"/>
            <w:r>
              <w:t xml:space="preserve"> / </w:t>
            </w:r>
            <w:proofErr w:type="spellStart"/>
            <w:r w:rsidRPr="002125CD">
              <w:t>Amjevita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21E">
              <w:t>Amgen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Biosimilar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2016/09/23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launched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80mg subcutaneously, then 40mg every other week starting 1 week after initial dose</w:t>
            </w: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adalimumab-</w:t>
            </w:r>
            <w:proofErr w:type="spellStart"/>
            <w:r>
              <w:t>adbm</w:t>
            </w:r>
            <w:proofErr w:type="spellEnd"/>
            <w:r>
              <w:t xml:space="preserve"> / </w:t>
            </w:r>
            <w:proofErr w:type="spellStart"/>
            <w:r w:rsidRPr="002125CD">
              <w:t>Cyltezo</w:t>
            </w:r>
            <w:proofErr w:type="spellEnd"/>
            <w:r>
              <w:t>®</w:t>
            </w:r>
            <w:r w:rsidRPr="002125CD">
              <w:t xml:space="preserve">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8321E">
              <w:t>Boehringer</w:t>
            </w:r>
            <w:proofErr w:type="spellEnd"/>
            <w:r w:rsidRPr="0058321E">
              <w:t xml:space="preserve"> </w:t>
            </w:r>
            <w:proofErr w:type="spellStart"/>
            <w:r w:rsidRPr="0058321E">
              <w:t>Ingelheim</w:t>
            </w:r>
            <w:proofErr w:type="spellEnd"/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Biosimilar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2017/08/31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launched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80mg subcutaneously, then 40mg every other week starting 1 week after initial dose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etanercept</w:t>
            </w:r>
            <w:proofErr w:type="spellEnd"/>
            <w:r>
              <w:t xml:space="preserve"> /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Enbrel®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Amgen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2004/04/30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50mg subcutaneously 2x/week for 3 months, then 50mg 1x/week</w:t>
            </w: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B2892">
              <w:t>eta</w:t>
            </w:r>
            <w:r>
              <w:t>nercept-szzs</w:t>
            </w:r>
            <w:proofErr w:type="spellEnd"/>
            <w:r>
              <w:t xml:space="preserve"> / </w:t>
            </w:r>
            <w:proofErr w:type="spellStart"/>
            <w:r>
              <w:t>Erelzi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Novartis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Biosimilar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2016/08/30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launched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50mg subcutaneously 2x/week for 3 months, then 50mg 1x/week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infliximab / </w:t>
            </w:r>
            <w:proofErr w:type="spellStart"/>
            <w:r>
              <w:t>Remicade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Janssen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2006/09/26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5mg/kg intravenously at weeks 0, 2, and 6, then every 8 weeks</w:t>
            </w: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infliximab-</w:t>
            </w:r>
            <w:proofErr w:type="spellStart"/>
            <w:r>
              <w:t>dyyb</w:t>
            </w:r>
            <w:proofErr w:type="spellEnd"/>
            <w:r w:rsidRPr="0058321E">
              <w:t xml:space="preserve"> </w:t>
            </w:r>
            <w:r>
              <w:t xml:space="preserve">/ </w:t>
            </w:r>
            <w:proofErr w:type="spellStart"/>
            <w:r>
              <w:t>Inflectra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21E">
              <w:t>Pfizer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Biosimilar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2016/04/05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 since 2016-10-17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5E6D">
              <w:t>5 mg/kg at 0, 2 and 6 weeks, then every 8 weeks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infliximab-</w:t>
            </w:r>
            <w:proofErr w:type="spellStart"/>
            <w:r>
              <w:t>abda</w:t>
            </w:r>
            <w:proofErr w:type="spellEnd"/>
            <w:r>
              <w:t xml:space="preserve">, </w:t>
            </w:r>
            <w:proofErr w:type="spellStart"/>
            <w:r>
              <w:t>Renflexis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5E6D">
              <w:t>Merck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Biosimilar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2017/04/24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Available since 2017/07/24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5E6D">
              <w:t>5 mg/kg at 0, 2 and 6 weeks, then every 8 weeks</w:t>
            </w: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infliximab-</w:t>
            </w:r>
            <w:proofErr w:type="spellStart"/>
            <w:r>
              <w:t>qbtx</w:t>
            </w:r>
            <w:proofErr w:type="spellEnd"/>
            <w:r>
              <w:t xml:space="preserve"> /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Ixifi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Pfizer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Biosimilar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2017/12/13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launched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5E6D">
              <w:t>5 mg/kg at 0, 2 and 6 weeks, then every 8 weeks</w:t>
            </w:r>
          </w:p>
        </w:tc>
      </w:tr>
      <w:tr w:rsidR="00531CC3" w:rsidRPr="00B22702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D159F">
              <w:t>certolizumab</w:t>
            </w:r>
            <w:proofErr w:type="spellEnd"/>
            <w:r w:rsidRPr="00BD159F">
              <w:t xml:space="preserve"> </w:t>
            </w:r>
            <w:proofErr w:type="spellStart"/>
            <w:r w:rsidRPr="00BD159F">
              <w:t>pego</w:t>
            </w:r>
            <w:proofErr w:type="spellEnd"/>
            <w:r>
              <w:t xml:space="preserve"> / </w:t>
            </w:r>
            <w:proofErr w:type="spellStart"/>
            <w:r w:rsidRPr="00BD159F">
              <w:t>Cimzia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UCB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Reference Biologic, </w:t>
            </w:r>
            <w:r w:rsidRPr="005C7484">
              <w:rPr>
                <w:highlight w:val="yellow"/>
              </w:rPr>
              <w:t>under FDA review</w:t>
            </w:r>
            <w:r>
              <w:t xml:space="preserve"> for moderate to severe psoriasis indication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Available for psoriatic arthritis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cr/>
              <w:t>n/a</w:t>
            </w: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  <w:r>
              <w:rPr>
                <w:color w:val="FFFFFF"/>
              </w:rPr>
              <w:t>IL 12/23</w:t>
            </w: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ustekinumab</w:t>
            </w:r>
            <w:proofErr w:type="spellEnd"/>
            <w:r>
              <w:t xml:space="preserve"> / </w:t>
            </w:r>
            <w:proofErr w:type="spellStart"/>
            <w:r>
              <w:t>Stelara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Janssen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2009/09/25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Patients ≤100kg/&gt;100kg: 45mg/90mg subcutaneously at week 0 and 4, then every 12 weeks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  <w:r>
              <w:rPr>
                <w:color w:val="FFFFFF"/>
              </w:rPr>
              <w:t>IL 23</w:t>
            </w: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</w:t>
            </w:r>
            <w:r w:rsidRPr="00606791">
              <w:t>uselkumab</w:t>
            </w:r>
            <w:proofErr w:type="spellEnd"/>
            <w:r>
              <w:t xml:space="preserve">/ </w:t>
            </w:r>
            <w:proofErr w:type="spellStart"/>
            <w:r>
              <w:t>Tremfya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Janssen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Reference Biologic 2017/07/13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100mg subcutaneously at weeks 0, week 4, then every 8 weeks</w:t>
            </w: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tildrakizumab-asmn</w:t>
            </w:r>
            <w:proofErr w:type="spellEnd"/>
            <w:r>
              <w:t xml:space="preserve"> / </w:t>
            </w:r>
            <w:proofErr w:type="spellStart"/>
            <w:r>
              <w:t>Ilumya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3A2E">
              <w:t>Sun</w:t>
            </w:r>
            <w:r>
              <w:t>/Merck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2018/03/</w:t>
            </w:r>
            <w:r w:rsidRPr="003D070E">
              <w:t>20</w:t>
            </w:r>
            <w:r>
              <w:t>18</w:t>
            </w:r>
          </w:p>
        </w:tc>
        <w:tc>
          <w:tcPr>
            <w:tcW w:w="1417" w:type="dxa"/>
          </w:tcPr>
          <w:p w:rsidR="00531CC3" w:rsidRPr="0013752D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gramStart"/>
            <w:r w:rsidRPr="0013752D">
              <w:rPr>
                <w:highlight w:val="yellow"/>
              </w:rPr>
              <w:t>Available ?</w:t>
            </w:r>
            <w:proofErr w:type="gramEnd"/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mg subcutaneously at weeks 0, 4, then every twelve weeks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D1D85">
              <w:t>Risankizumab</w:t>
            </w:r>
            <w:proofErr w:type="spellEnd"/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Abbvie</w:t>
            </w:r>
            <w:proofErr w:type="spellEnd"/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1D85">
              <w:rPr>
                <w:highlight w:val="yellow"/>
              </w:rPr>
              <w:t>FDA submission to be confirmed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31CC3" w:rsidRP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 w:val="restart"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  <w:r>
              <w:rPr>
                <w:color w:val="FFFFFF"/>
              </w:rPr>
              <w:t>IL 17-A</w:t>
            </w: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secukinumab</w:t>
            </w:r>
            <w:proofErr w:type="spellEnd"/>
            <w:r>
              <w:t xml:space="preserve"> / </w:t>
            </w:r>
            <w:proofErr w:type="spellStart"/>
            <w:r>
              <w:t>Cosentyx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Novartis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2015/01/21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300mg subcutaneously at weeks 0, 1, 2, 3, 4 then 300mg every 4 weeks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ixekizumab</w:t>
            </w:r>
            <w:proofErr w:type="spellEnd"/>
            <w:r>
              <w:t xml:space="preserve"> /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Taltz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CF1">
              <w:t>Eli Lilly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Reference Biologic, 2016/03/22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160mg subcutaneously at week 0, then 80mg at weeks 2, 4, 6, 8, 10, 12, then 80mg every 4 weeks</w:t>
            </w:r>
          </w:p>
        </w:tc>
      </w:tr>
      <w:tr w:rsidR="00531CC3" w:rsidTr="00E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Merge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brodalumab</w:t>
            </w:r>
            <w:proofErr w:type="spellEnd"/>
            <w:r>
              <w:t xml:space="preserve"> /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Siliq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Valeant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2017/02/15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210mg subcutaneously, every 2 weeks*</w:t>
            </w:r>
          </w:p>
        </w:tc>
      </w:tr>
      <w:tr w:rsidR="00531CC3" w:rsidRPr="00531CC3" w:rsidTr="00E93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531CC3" w:rsidRDefault="00531CC3" w:rsidP="00E9367C">
            <w:pPr>
              <w:pStyle w:val="TableText"/>
              <w:spacing w:after="40" w:line="240" w:lineRule="auto"/>
              <w:rPr>
                <w:color w:val="FFFFFF"/>
              </w:rPr>
            </w:pPr>
            <w:r>
              <w:rPr>
                <w:color w:val="FFFFFF"/>
              </w:rPr>
              <w:t>PDE-4</w:t>
            </w:r>
          </w:p>
        </w:tc>
        <w:tc>
          <w:tcPr>
            <w:tcW w:w="1948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Apremilast</w:t>
            </w:r>
            <w:proofErr w:type="spellEnd"/>
            <w:r>
              <w:t xml:space="preserve"> / 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Otezla</w:t>
            </w:r>
            <w:proofErr w:type="spellEnd"/>
            <w:r>
              <w:t>®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Celgene</w:t>
            </w:r>
          </w:p>
        </w:tc>
        <w:tc>
          <w:tcPr>
            <w:tcW w:w="1812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Reference Biologic</w:t>
            </w:r>
          </w:p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2014/09/23</w:t>
            </w:r>
          </w:p>
        </w:tc>
        <w:tc>
          <w:tcPr>
            <w:tcW w:w="1417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Available</w:t>
            </w:r>
          </w:p>
        </w:tc>
        <w:tc>
          <w:tcPr>
            <w:tcW w:w="2256" w:type="dxa"/>
          </w:tcPr>
          <w:p w:rsidR="00531CC3" w:rsidRDefault="00531CC3" w:rsidP="00E9367C">
            <w:pPr>
              <w:pStyle w:val="TableText"/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5-day titration then 30mg orally 2x/day thereafter</w:t>
            </w:r>
          </w:p>
        </w:tc>
      </w:tr>
    </w:tbl>
    <w:p w:rsidR="00132DD8" w:rsidRPr="00531CC3" w:rsidRDefault="00132DD8">
      <w:pPr>
        <w:rPr>
          <w:lang w:val="en-CA"/>
        </w:rPr>
      </w:pPr>
      <w:bookmarkStart w:id="1" w:name="_GoBack"/>
      <w:bookmarkEnd w:id="1"/>
    </w:p>
    <w:sectPr w:rsidR="00132DD8" w:rsidRPr="00531C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3"/>
    <w:rsid w:val="00132DD8"/>
    <w:rsid w:val="005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A447-71A7-4C0A-94C5-340F826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C3"/>
  </w:style>
  <w:style w:type="paragraph" w:styleId="Titre5">
    <w:name w:val="heading 5"/>
    <w:basedOn w:val="Normal"/>
    <w:link w:val="Titre5Car"/>
    <w:uiPriority w:val="9"/>
    <w:qFormat/>
    <w:rsid w:val="00531CC3"/>
    <w:pPr>
      <w:keepNext/>
      <w:keepLines/>
      <w:spacing w:after="120" w:line="276" w:lineRule="auto"/>
      <w:outlineLvl w:val="4"/>
    </w:pPr>
    <w:rPr>
      <w:rFonts w:asciiTheme="majorHAnsi" w:eastAsiaTheme="majorEastAsia" w:hAnsiTheme="majorHAnsi" w:cstheme="majorBidi"/>
      <w:b/>
      <w:color w:val="00000A"/>
      <w:sz w:val="23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qFormat/>
    <w:rsid w:val="00531CC3"/>
    <w:rPr>
      <w:rFonts w:asciiTheme="majorHAnsi" w:eastAsiaTheme="majorEastAsia" w:hAnsiTheme="majorHAnsi" w:cstheme="majorBidi"/>
      <w:b/>
      <w:color w:val="00000A"/>
      <w:sz w:val="23"/>
      <w:lang w:val="en-US"/>
    </w:rPr>
  </w:style>
  <w:style w:type="paragraph" w:customStyle="1" w:styleId="TableText">
    <w:name w:val="Table Text"/>
    <w:basedOn w:val="Normal"/>
    <w:uiPriority w:val="4"/>
    <w:qFormat/>
    <w:rsid w:val="00531CC3"/>
    <w:pPr>
      <w:spacing w:after="0" w:line="276" w:lineRule="auto"/>
    </w:pPr>
    <w:rPr>
      <w:rFonts w:eastAsia="SimSun"/>
      <w:color w:val="00000A"/>
      <w:sz w:val="20"/>
      <w:lang w:val="en-US"/>
    </w:rPr>
  </w:style>
  <w:style w:type="table" w:customStyle="1" w:styleId="GridTable5Dark-Accent53">
    <w:name w:val="Grid Table 5 Dark - Accent 53"/>
    <w:basedOn w:val="TableauNormal"/>
    <w:uiPriority w:val="50"/>
    <w:rsid w:val="00531CC3"/>
    <w:pPr>
      <w:spacing w:before="40" w:after="40" w:line="240" w:lineRule="auto"/>
    </w:pPr>
    <w:rPr>
      <w:rFonts w:eastAsia="SimSun"/>
      <w:sz w:val="20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 w:themeFill="accent5" w:themeFillTint="33"/>
    </w:tcPr>
    <w:tblStylePr w:type="firstRow">
      <w:pPr>
        <w:wordWrap/>
        <w:spacing w:beforeLines="0" w:afterLines="0"/>
      </w:pPr>
      <w:rPr>
        <w:b/>
        <w:bCs/>
        <w:color w:val="FFFFFF"/>
      </w:rPr>
      <w:tblPr/>
      <w:tcPr>
        <w:shd w:val="clear" w:color="auto" w:fill="2F5496" w:themeFill="accent5" w:themeFillShade="B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pPr>
        <w:wordWrap/>
        <w:spacing w:beforeLines="0" w:afterLines="0"/>
      </w:pPr>
      <w:rPr>
        <w:b/>
        <w:bCs/>
        <w:color w:val="FFFFFF"/>
      </w:rPr>
      <w:tblPr/>
      <w:tcPr>
        <w:shd w:val="clear" w:color="auto" w:fill="2F5496" w:themeFill="accent5" w:themeFillShade="B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8EAADB" w:themeFill="accent5" w:themeFillTint="99"/>
      </w:tcPr>
    </w:tblStylePr>
    <w:tblStylePr w:type="band2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Banken</dc:creator>
  <cp:keywords/>
  <dc:description/>
  <cp:lastModifiedBy>Reiner Banken</cp:lastModifiedBy>
  <cp:revision>1</cp:revision>
  <dcterms:created xsi:type="dcterms:W3CDTF">2018-04-04T20:33:00Z</dcterms:created>
  <dcterms:modified xsi:type="dcterms:W3CDTF">2018-04-04T20:34:00Z</dcterms:modified>
</cp:coreProperties>
</file>