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notes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_rels/chart1.xml.rels" ContentType="application/vnd.openxmlformats-package.relationships+xml"/>
  <Override PartName="/word/charts/_rels/chart2.xml.rels" ContentType="application/vnd.openxmlformats-package.relationships+xml"/>
  <Override PartName="/word/charts/_rels/chart3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FootnoteCharacters"/>
          <w:rStyle w:val="Lbjegyzethorgony"/>
        </w:rPr>
        <w:footnoteReference w:id="2"/>
      </w:r>
    </w:p>
    <w:p>
      <w:pPr>
        <w:pStyle w:val="Normal"/>
        <w:rPr/>
      </w:pPr>
      <w:r>
        <w:rPr>
          <w:rStyle w:val="FootnoteCharacters"/>
          <w:rStyle w:val="Lbjegyzethorgony"/>
        </w:rPr>
        <w:footnoteReference w:id="3"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Style w:val="FootnoteCharacters"/>
          <w:rStyle w:val="Lbjegyzethorgony"/>
        </w:rPr>
        <w:footnoteReference w:id="4"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Lbjegyzet"/>
        <w:rPr/>
      </w:pPr>
      <w:r>
        <w:rPr>
          <w:rStyle w:val="Lbjegyzetkarakterek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/>
        <w:t>a</w:t>
      </w:r>
    </w:p>
    <w:p>
      <w:pPr>
        <w:pStyle w:val="Lbjegyzet"/>
        <w:rPr/>
      </w:pPr>
      <w:r>
        <w:rPr/>
        <w:drawing>
          <wp:inline distT="0" distB="0" distL="0" distR="0">
            <wp:extent cx="203835" cy="203835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"/>
              </a:graphicData>
            </a:graphic>
          </wp:inline>
        </w:drawing>
      </w:r>
    </w:p>
  </w:footnote>
  <w:footnote w:id="3">
    <w:p>
      <w:pPr>
        <w:pStyle w:val="Lbjegyzet"/>
        <w:rPr/>
      </w:pPr>
      <w:r>
        <w:rPr>
          <w:rStyle w:val="Lbjegyzetkarakterek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/>
        <w:t>b</w:t>
      </w:r>
    </w:p>
    <w:p>
      <w:pPr>
        <w:pStyle w:val="Lbjegyzet"/>
        <w:rPr/>
      </w:pPr>
      <w:r>
        <w:rPr/>
        <w:drawing>
          <wp:inline distT="0" distB="0" distL="0" distR="0">
            <wp:extent cx="203835" cy="203835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</w:footnote>
  <w:footnote w:id="4">
    <w:p>
      <w:pPr>
        <w:pStyle w:val="Lbjegyzet"/>
        <w:rPr/>
      </w:pPr>
      <w:r>
        <w:rPr>
          <w:rStyle w:val="Lbjegyzetkarakterek"/>
        </w:rPr>
        <w:footnoteRef/>
      </w:r>
      <w:r>
        <w:rPr>
          <w:rStyle w:val="FootnoteCharacters"/>
        </w:rPr>
        <w:tab/>
      </w:r>
      <w:r>
        <w:rPr/>
        <w:t xml:space="preserve"> </w:t>
      </w:r>
      <w:bookmarkStart w:id="0" w:name="_GoBack"/>
      <w:r>
        <w:rPr/>
        <w:drawing>
          <wp:inline distT="0" distB="0" distL="0" distR="0">
            <wp:extent cx="5486400" cy="3200400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  <w:bookmarkEnd w:id="0"/>
    </w:p>
  </w:footnote>
</w:footnotes>
</file>

<file path=word/settings.xml><?xml version="1.0" encoding="utf-8"?>
<w:settings xmlns:w="http://schemas.openxmlformats.org/wordprocessingml/2006/main">
  <w:zoom w:percent="123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bjegyzetszvegChar" w:customStyle="1">
    <w:name w:val="Lábjegyzetszöveg Char"/>
    <w:basedOn w:val="DefaultParagraphFont"/>
    <w:link w:val="Lbjegyzetszveg"/>
    <w:uiPriority w:val="99"/>
    <w:semiHidden/>
    <w:qFormat/>
    <w:rsid w:val="00557a8d"/>
    <w:rPr>
      <w:sz w:val="20"/>
      <w:szCs w:val="20"/>
    </w:rPr>
  </w:style>
  <w:style w:type="character" w:styleId="Lbjegyzethorgony">
    <w:name w:val="Lábjegyzet-horgony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57a8d"/>
    <w:rPr>
      <w:vertAlign w:val="superscript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557a8d"/>
    <w:rPr>
      <w:rFonts w:ascii="Tahoma" w:hAnsi="Tahoma" w:cs="Tahoma"/>
      <w:sz w:val="16"/>
      <w:szCs w:val="16"/>
    </w:rPr>
  </w:style>
  <w:style w:type="character" w:styleId="Lbjegyzetkarakterek">
    <w:name w:val="Lábjegyzet-karakterek"/>
    <w:qFormat/>
    <w:rPr/>
  </w:style>
  <w:style w:type="character" w:styleId="Vgjegyzethorgony">
    <w:name w:val="Végjegyzet-horgony"/>
    <w:rPr>
      <w:vertAlign w:val="superscript"/>
    </w:rPr>
  </w:style>
  <w:style w:type="character" w:styleId="Vgjegyzetkarakterek">
    <w:name w:val="Végjegyzet-karakterek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Lbjegyzet">
    <w:name w:val="Footnote Text"/>
    <w:basedOn w:val="Normal"/>
    <w:link w:val="LbjegyzetszvegChar"/>
    <w:uiPriority w:val="99"/>
    <w:semiHidden/>
    <w:unhideWhenUsed/>
    <w:rsid w:val="00557a8d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557a8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footnotes" Target="footnote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chart" Target="charts/chart1.xml"/><Relationship Id="rId2" Type="http://schemas.openxmlformats.org/officeDocument/2006/relationships/chart" Target="charts/chart2.xml"/><Relationship Id="rId3" Type="http://schemas.openxmlformats.org/officeDocument/2006/relationships/chart" Target="charts/chart3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1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1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Microsoft_Excel_Worksheet1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Sorozat 1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Sorozat 2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Sorozat 3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gapWidth val="150"/>
        <c:overlap val="0"/>
        <c:axId val="50990164"/>
        <c:axId val="53294512"/>
      </c:barChart>
      <c:catAx>
        <c:axId val="50990164"/>
        <c:scaling>
          <c:orientation val="minMax"/>
        </c:scaling>
        <c:delete val="0"/>
        <c:axPos val="b"/>
        <c:numFmt formatCode="YYYY\-MM\-DD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3294512"/>
        <c:crosses val="autoZero"/>
        <c:auto val="1"/>
        <c:lblAlgn val="ctr"/>
        <c:lblOffset val="100"/>
      </c:catAx>
      <c:valAx>
        <c:axId val="53294512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0990164"/>
        <c:crosses val="autoZero"/>
      </c:val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Sorozat 1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Sorozat 2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Sorozat 3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gapWidth val="150"/>
        <c:overlap val="0"/>
        <c:axId val="48773207"/>
        <c:axId val="40332709"/>
      </c:barChart>
      <c:catAx>
        <c:axId val="48773207"/>
        <c:scaling>
          <c:orientation val="minMax"/>
        </c:scaling>
        <c:delete val="0"/>
        <c:axPos val="b"/>
        <c:numFmt formatCode="YYYY\-MM\-DD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0332709"/>
        <c:crosses val="autoZero"/>
        <c:auto val="1"/>
        <c:lblAlgn val="ctr"/>
        <c:lblOffset val="100"/>
      </c:catAx>
      <c:valAx>
        <c:axId val="40332709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8773207"/>
        <c:crosses val="autoZero"/>
      </c:val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Sorozat 1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Sorozat 2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Sorozat 3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gapWidth val="150"/>
        <c:overlap val="0"/>
        <c:axId val="3737002"/>
        <c:axId val="86188891"/>
      </c:barChart>
      <c:catAx>
        <c:axId val="3737002"/>
        <c:scaling>
          <c:orientation val="minMax"/>
        </c:scaling>
        <c:delete val="0"/>
        <c:axPos val="b"/>
        <c:numFmt formatCode="YYYY\-MM\-DD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6188891"/>
        <c:crosses val="autoZero"/>
        <c:auto val="1"/>
        <c:lblAlgn val="ctr"/>
        <c:lblOffset val="100"/>
      </c:catAx>
      <c:valAx>
        <c:axId val="86188891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737002"/>
        <c:crosses val="autoZero"/>
      </c:val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>
      <a:noFill/>
    </a:ln>
  </c:spPr>
  <c:externalData r:id="rId1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06BDB1-3152-4D0F-A4FB-B231A2C50151}"/>
</file>

<file path=customXml/itemProps2.xml><?xml version="1.0" encoding="utf-8"?>
<ds:datastoreItem xmlns:ds="http://schemas.openxmlformats.org/officeDocument/2006/customXml" ds:itemID="{2530F5FA-8850-4B8A-8DE0-08E54E752B6D}"/>
</file>

<file path=customXml/itemProps3.xml><?xml version="1.0" encoding="utf-8"?>
<ds:datastoreItem xmlns:ds="http://schemas.openxmlformats.org/officeDocument/2006/customXml" ds:itemID="{5E58C9A0-CEA7-4637-9B04-11ACB925CB62}"/>
</file>

<file path=customXml/itemProps4.xml><?xml version="1.0" encoding="utf-8"?>
<ds:datastoreItem xmlns:ds="http://schemas.openxmlformats.org/officeDocument/2006/customXml" ds:itemID="{3D958163-8975-45E0-A362-D1C9DDC0E7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LibreOffice/6.0.0.3$Windows_x86 LibreOffice_project/64a0f66915f38c6217de274f0aa8e15618924765</Application>
  <Pages>1</Pages>
  <Words>8</Words>
  <Characters>8</Characters>
  <CharactersWithSpaces>11</CharactersWithSpaces>
  <Paragraphs>8</Paragraphs>
  <Company>KD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teszt_admin</dc:creator>
  <dc:description/>
  <cp:lastModifiedBy>teszt_admin</cp:lastModifiedBy>
  <cp:revision>1</cp:revision>
  <dcterms:created xsi:type="dcterms:W3CDTF">2018-01-30T15:01:00Z</dcterms:created>
  <dcterms:modified xsi:type="dcterms:W3CDTF">2018-01-30T15:02:00Z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0x010100A8E0EEA1FDF22B4AB9A41CD42CC14085</vt:lpwstr>
  </property>
</Properties>
</file>